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540" w:lineRule="exact"/>
        <w:ind w:firstLine="0" w:firstLineChars="0"/>
        <w:rPr>
          <w:rFonts w:ascii="方正黑体简体" w:eastAsia="方正黑体简体"/>
          <w:snapToGrid w:val="0"/>
          <w:szCs w:val="32"/>
        </w:rPr>
      </w:pPr>
      <w:r>
        <w:rPr>
          <w:rFonts w:hint="eastAsia" w:ascii="方正黑体简体" w:eastAsia="方正黑体简体"/>
          <w:snapToGrid w:val="0"/>
          <w:szCs w:val="32"/>
        </w:rPr>
        <w:t>附件1</w:t>
      </w:r>
    </w:p>
    <w:p>
      <w:pPr>
        <w:pStyle w:val="4"/>
        <w:spacing w:after="0" w:line="540" w:lineRule="exact"/>
        <w:rPr>
          <w:rFonts w:eastAsia="方正仿宋简体"/>
          <w:snapToGrid w:val="0"/>
          <w:szCs w:val="32"/>
        </w:rPr>
      </w:pPr>
    </w:p>
    <w:p>
      <w:pPr>
        <w:pStyle w:val="4"/>
        <w:spacing w:after="0" w:line="540" w:lineRule="exact"/>
        <w:ind w:firstLine="880"/>
        <w:jc w:val="center"/>
        <w:rPr>
          <w:rFonts w:ascii="方正小标宋简体" w:eastAsia="方正小标宋简体"/>
          <w:snapToGrid w:val="0"/>
          <w:sz w:val="44"/>
          <w:szCs w:val="44"/>
        </w:rPr>
      </w:pPr>
      <w:r>
        <w:rPr>
          <w:rFonts w:hint="eastAsia" w:ascii="方正小标宋简体" w:eastAsia="方正小标宋简体"/>
          <w:snapToGrid w:val="0"/>
          <w:sz w:val="44"/>
          <w:szCs w:val="44"/>
        </w:rPr>
        <w:t>泉州市高层次人才自主认定指标</w:t>
      </w:r>
    </w:p>
    <w:p>
      <w:pPr>
        <w:pStyle w:val="4"/>
        <w:spacing w:after="0" w:line="540" w:lineRule="exact"/>
        <w:ind w:firstLine="880"/>
        <w:jc w:val="center"/>
        <w:rPr>
          <w:rFonts w:ascii="方正小标宋简体" w:eastAsia="方正小标宋简体"/>
          <w:snapToGrid w:val="0"/>
          <w:sz w:val="44"/>
          <w:szCs w:val="44"/>
        </w:rPr>
      </w:pPr>
      <w:r>
        <w:rPr>
          <w:rFonts w:hint="eastAsia" w:ascii="方正小标宋简体" w:eastAsia="方正小标宋简体"/>
          <w:snapToGrid w:val="0"/>
          <w:sz w:val="44"/>
          <w:szCs w:val="44"/>
        </w:rPr>
        <w:t>分档配额办法</w:t>
      </w:r>
    </w:p>
    <w:p>
      <w:pPr>
        <w:pStyle w:val="4"/>
        <w:spacing w:after="0" w:line="540" w:lineRule="exact"/>
        <w:ind w:firstLine="598"/>
        <w:rPr>
          <w:rFonts w:eastAsia="方正楷体简体"/>
          <w:b/>
          <w:spacing w:val="-11"/>
          <w:szCs w:val="32"/>
        </w:rPr>
      </w:pPr>
    </w:p>
    <w:p>
      <w:pPr>
        <w:pStyle w:val="4"/>
        <w:spacing w:after="0" w:line="540" w:lineRule="exact"/>
        <w:rPr>
          <w:rFonts w:eastAsia="方正仿宋简体"/>
          <w:szCs w:val="32"/>
        </w:rPr>
      </w:pPr>
      <w:r>
        <w:rPr>
          <w:rFonts w:hint="eastAsia" w:eastAsia="方正仿宋简体"/>
          <w:szCs w:val="32"/>
        </w:rPr>
        <w:t>凡纳入泉州市高层次人才自主认定试点单位，根据用人单位不同类型给予当年度</w:t>
      </w:r>
      <w:r>
        <w:rPr>
          <w:rFonts w:eastAsia="方正仿宋简体"/>
          <w:szCs w:val="32"/>
        </w:rPr>
        <w:t>“</w:t>
      </w:r>
      <w:r>
        <w:rPr>
          <w:rFonts w:hint="eastAsia" w:eastAsia="方正仿宋简体"/>
          <w:szCs w:val="32"/>
        </w:rPr>
        <w:t>分档配额</w:t>
      </w:r>
      <w:r>
        <w:rPr>
          <w:rFonts w:eastAsia="方正仿宋简体"/>
          <w:szCs w:val="32"/>
        </w:rPr>
        <w:t>”</w:t>
      </w:r>
      <w:r>
        <w:rPr>
          <w:rFonts w:hint="eastAsia" w:eastAsia="方正仿宋简体"/>
          <w:szCs w:val="32"/>
        </w:rPr>
        <w:t>的市高层次人才自主认定指标。</w:t>
      </w:r>
    </w:p>
    <w:p>
      <w:pPr>
        <w:pStyle w:val="4"/>
        <w:spacing w:after="0" w:line="540" w:lineRule="exact"/>
        <w:rPr>
          <w:rFonts w:eastAsia="方正仿宋简体"/>
          <w:szCs w:val="32"/>
        </w:rPr>
      </w:pPr>
      <w:r>
        <w:rPr>
          <w:rFonts w:hint="eastAsia" w:ascii="方正黑体简体" w:hAnsi="宋体" w:eastAsia="方正黑体简体" w:cs="宋体"/>
          <w:szCs w:val="32"/>
        </w:rPr>
        <w:t>一、一般规模以上</w:t>
      </w:r>
      <w:r>
        <w:rPr>
          <w:rFonts w:hint="eastAsia" w:ascii="方正黑体简体" w:eastAsia="方正黑体简体"/>
          <w:szCs w:val="32"/>
        </w:rPr>
        <w:t>企业类</w:t>
      </w:r>
      <w:r>
        <w:rPr>
          <w:rFonts w:hint="eastAsia" w:eastAsia="方正仿宋简体"/>
          <w:bCs/>
          <w:szCs w:val="32"/>
        </w:rPr>
        <w:t>（特指在泉年纳税额超</w:t>
      </w:r>
      <w:r>
        <w:rPr>
          <w:rFonts w:eastAsia="方正仿宋简体"/>
          <w:bCs/>
          <w:szCs w:val="32"/>
        </w:rPr>
        <w:t>1000</w:t>
      </w:r>
      <w:r>
        <w:rPr>
          <w:rFonts w:hint="eastAsia" w:eastAsia="方正仿宋简体"/>
          <w:bCs/>
          <w:szCs w:val="32"/>
        </w:rPr>
        <w:t>万元的国家级高新技术企业、市属国有企业、央企</w:t>
      </w:r>
      <w:r>
        <w:rPr>
          <w:rFonts w:eastAsia="方正仿宋简体"/>
          <w:bCs/>
          <w:szCs w:val="32"/>
        </w:rPr>
        <w:t>&lt;</w:t>
      </w:r>
      <w:r>
        <w:rPr>
          <w:rFonts w:hint="eastAsia" w:eastAsia="方正仿宋简体"/>
          <w:bCs/>
          <w:szCs w:val="32"/>
        </w:rPr>
        <w:t>省部属企业</w:t>
      </w:r>
      <w:r>
        <w:rPr>
          <w:rFonts w:eastAsia="方正仿宋简体"/>
          <w:bCs/>
          <w:szCs w:val="32"/>
        </w:rPr>
        <w:t>&gt;</w:t>
      </w:r>
      <w:r>
        <w:rPr>
          <w:rFonts w:hint="eastAsia" w:eastAsia="方正仿宋简体"/>
          <w:bCs/>
          <w:szCs w:val="32"/>
        </w:rPr>
        <w:t>驻泉单位，不含地产类企业）。上一年度在泉</w:t>
      </w:r>
      <w:bookmarkStart w:id="0" w:name="_GoBack"/>
      <w:bookmarkEnd w:id="0"/>
      <w:r>
        <w:rPr>
          <w:rFonts w:hint="eastAsia" w:eastAsia="方正仿宋简体"/>
          <w:bCs/>
          <w:szCs w:val="32"/>
        </w:rPr>
        <w:t>实际纳税额度超</w:t>
      </w:r>
      <w:r>
        <w:rPr>
          <w:rFonts w:eastAsia="方正仿宋简体"/>
          <w:bCs/>
          <w:szCs w:val="32"/>
        </w:rPr>
        <w:t>1000</w:t>
      </w:r>
      <w:r>
        <w:rPr>
          <w:rFonts w:hint="eastAsia" w:eastAsia="方正仿宋简体"/>
          <w:bCs/>
          <w:szCs w:val="32"/>
        </w:rPr>
        <w:t>万元以上，当年度分六个档次给予</w:t>
      </w:r>
      <w:r>
        <w:rPr>
          <w:rFonts w:eastAsia="方正仿宋简体"/>
          <w:bCs/>
          <w:szCs w:val="32"/>
        </w:rPr>
        <w:t>3</w:t>
      </w:r>
      <w:r>
        <w:rPr>
          <w:rFonts w:hint="eastAsia" w:eastAsia="方正仿宋简体"/>
          <w:bCs/>
          <w:szCs w:val="32"/>
        </w:rPr>
        <w:t>～</w:t>
      </w:r>
      <w:r>
        <w:rPr>
          <w:rFonts w:eastAsia="方正仿宋简体"/>
          <w:bCs/>
          <w:szCs w:val="32"/>
        </w:rPr>
        <w:t>15</w:t>
      </w:r>
      <w:r>
        <w:rPr>
          <w:rFonts w:hint="eastAsia" w:eastAsia="方正仿宋简体"/>
          <w:bCs/>
          <w:szCs w:val="32"/>
        </w:rPr>
        <w:t>个市高层次人才自主认定配额指标。</w:t>
      </w:r>
    </w:p>
    <w:p>
      <w:pPr>
        <w:pStyle w:val="4"/>
        <w:spacing w:after="0" w:line="540" w:lineRule="exact"/>
        <w:rPr>
          <w:rFonts w:eastAsia="方正仿宋简体"/>
          <w:szCs w:val="32"/>
        </w:rPr>
      </w:pPr>
      <w:r>
        <w:rPr>
          <w:rFonts w:hint="eastAsia" w:ascii="方正黑体简体" w:hAnsi="宋体" w:eastAsia="方正黑体简体" w:cs="宋体"/>
          <w:szCs w:val="32"/>
        </w:rPr>
        <w:t>二、科技型企业类</w:t>
      </w:r>
      <w:r>
        <w:rPr>
          <w:rFonts w:hint="eastAsia" w:eastAsia="方正仿宋简体"/>
          <w:bCs/>
          <w:szCs w:val="32"/>
        </w:rPr>
        <w:t>（特指设有院士专家工作站、特级人才创新实验室、博士后科研工作站以及获评国家级企业技术中心、工程研究中心、工业设计中心、专精特新</w:t>
      </w:r>
      <w:r>
        <w:rPr>
          <w:rFonts w:eastAsia="方正仿宋简体"/>
          <w:bCs/>
          <w:szCs w:val="32"/>
        </w:rPr>
        <w:t>“</w:t>
      </w:r>
      <w:r>
        <w:rPr>
          <w:rFonts w:hint="eastAsia" w:eastAsia="方正仿宋简体"/>
          <w:bCs/>
          <w:szCs w:val="32"/>
        </w:rPr>
        <w:t>小巨人</w:t>
      </w:r>
      <w:r>
        <w:rPr>
          <w:rFonts w:eastAsia="方正仿宋简体"/>
          <w:bCs/>
          <w:szCs w:val="32"/>
        </w:rPr>
        <w:t>”</w:t>
      </w:r>
      <w:r>
        <w:rPr>
          <w:rFonts w:hint="eastAsia" w:eastAsia="方正仿宋简体"/>
          <w:bCs/>
          <w:szCs w:val="32"/>
        </w:rPr>
        <w:t>的企业）。</w:t>
      </w:r>
      <w:r>
        <w:rPr>
          <w:rFonts w:hint="eastAsia" w:eastAsia="方正仿宋简体"/>
          <w:szCs w:val="32"/>
        </w:rPr>
        <w:t>上一年度营收额超</w:t>
      </w:r>
      <w:r>
        <w:rPr>
          <w:rFonts w:eastAsia="方正仿宋简体"/>
          <w:szCs w:val="32"/>
        </w:rPr>
        <w:t>2000</w:t>
      </w:r>
      <w:r>
        <w:rPr>
          <w:rFonts w:hint="eastAsia" w:eastAsia="方正仿宋简体"/>
          <w:szCs w:val="32"/>
        </w:rPr>
        <w:t>万元的，当年度分三档给予</w:t>
      </w:r>
      <w:r>
        <w:rPr>
          <w:rFonts w:eastAsia="方正仿宋简体"/>
          <w:bCs/>
          <w:szCs w:val="32"/>
        </w:rPr>
        <w:t>3</w:t>
      </w:r>
      <w:r>
        <w:rPr>
          <w:rFonts w:hint="eastAsia" w:ascii="方正仿宋简体" w:eastAsia="方正仿宋简体"/>
          <w:bCs/>
          <w:szCs w:val="32"/>
        </w:rPr>
        <w:t>～</w:t>
      </w:r>
      <w:r>
        <w:rPr>
          <w:rFonts w:eastAsia="方正仿宋简体"/>
          <w:bCs/>
          <w:szCs w:val="32"/>
        </w:rPr>
        <w:t>6</w:t>
      </w:r>
      <w:r>
        <w:rPr>
          <w:rFonts w:hint="eastAsia" w:eastAsia="方正仿宋简体"/>
          <w:bCs/>
          <w:szCs w:val="32"/>
        </w:rPr>
        <w:t>个</w:t>
      </w:r>
      <w:r>
        <w:rPr>
          <w:rFonts w:hint="eastAsia" w:eastAsia="方正仿宋简体"/>
          <w:szCs w:val="32"/>
        </w:rPr>
        <w:t>市高层次人才自主认定配额指标。</w:t>
      </w:r>
    </w:p>
    <w:p>
      <w:pPr>
        <w:pStyle w:val="4"/>
        <w:spacing w:after="0" w:line="540" w:lineRule="exact"/>
        <w:rPr>
          <w:rFonts w:eastAsia="方正仿宋简体"/>
          <w:szCs w:val="32"/>
        </w:rPr>
      </w:pPr>
      <w:r>
        <w:rPr>
          <w:rFonts w:hint="eastAsia" w:ascii="方正黑体简体" w:hAnsi="宋体" w:eastAsia="方正黑体简体" w:cs="宋体"/>
          <w:szCs w:val="32"/>
        </w:rPr>
        <w:t>三、科研平台类</w:t>
      </w:r>
      <w:r>
        <w:rPr>
          <w:rFonts w:hint="eastAsia" w:eastAsia="方正仿宋简体"/>
          <w:bCs/>
          <w:szCs w:val="32"/>
        </w:rPr>
        <w:t>（特指市级以上科技部门牵头认定的大院大所或省级以上新型研发机构）。达到以下条件之一的：</w:t>
      </w:r>
      <w:r>
        <w:rPr>
          <w:rFonts w:hint="eastAsia" w:eastAsia="方正仿宋简体"/>
          <w:szCs w:val="32"/>
        </w:rPr>
        <w:t>上一年度研发经费投入超</w:t>
      </w:r>
      <w:r>
        <w:rPr>
          <w:rFonts w:eastAsia="方正仿宋简体"/>
          <w:szCs w:val="32"/>
        </w:rPr>
        <w:t>1000</w:t>
      </w:r>
      <w:r>
        <w:rPr>
          <w:rFonts w:hint="eastAsia" w:eastAsia="方正仿宋简体"/>
          <w:szCs w:val="32"/>
        </w:rPr>
        <w:t>万元、科技成果在泉转化数量</w:t>
      </w:r>
      <w:r>
        <w:rPr>
          <w:rFonts w:eastAsia="方正仿宋简体"/>
          <w:szCs w:val="32"/>
        </w:rPr>
        <w:t>10</w:t>
      </w:r>
      <w:r>
        <w:rPr>
          <w:rFonts w:hint="eastAsia" w:eastAsia="方正仿宋简体"/>
          <w:szCs w:val="32"/>
        </w:rPr>
        <w:t>项以上、新增技术合同登记金额</w:t>
      </w:r>
      <w:r>
        <w:rPr>
          <w:rFonts w:eastAsia="方正仿宋简体"/>
          <w:szCs w:val="32"/>
        </w:rPr>
        <w:t>1000</w:t>
      </w:r>
      <w:r>
        <w:rPr>
          <w:rFonts w:hint="eastAsia" w:eastAsia="方正仿宋简体"/>
          <w:szCs w:val="32"/>
        </w:rPr>
        <w:t>万元以上，当年度分三档给予</w:t>
      </w:r>
      <w:r>
        <w:rPr>
          <w:rFonts w:eastAsia="方正仿宋简体"/>
          <w:bCs/>
          <w:szCs w:val="32"/>
        </w:rPr>
        <w:t>3</w:t>
      </w:r>
      <w:r>
        <w:rPr>
          <w:rFonts w:hint="eastAsia" w:eastAsia="方正仿宋简体"/>
          <w:bCs/>
          <w:szCs w:val="32"/>
        </w:rPr>
        <w:t>～</w:t>
      </w:r>
      <w:r>
        <w:rPr>
          <w:rFonts w:eastAsia="方正仿宋简体"/>
          <w:bCs/>
          <w:szCs w:val="32"/>
        </w:rPr>
        <w:t>6</w:t>
      </w:r>
      <w:r>
        <w:rPr>
          <w:rFonts w:hint="eastAsia" w:eastAsia="方正仿宋简体"/>
          <w:bCs/>
          <w:szCs w:val="32"/>
        </w:rPr>
        <w:t>个</w:t>
      </w:r>
      <w:r>
        <w:rPr>
          <w:rFonts w:hint="eastAsia" w:eastAsia="方正仿宋简体"/>
          <w:szCs w:val="32"/>
        </w:rPr>
        <w:t>市高层次人才自主认定配额指标</w:t>
      </w:r>
      <w:r>
        <w:rPr>
          <w:rFonts w:hint="eastAsia" w:eastAsia="方正楷体简体"/>
          <w:sz w:val="30"/>
          <w:szCs w:val="30"/>
        </w:rPr>
        <w:t>。</w:t>
      </w:r>
    </w:p>
    <w:p>
      <w:pPr>
        <w:pStyle w:val="4"/>
        <w:spacing w:after="0" w:line="540" w:lineRule="exact"/>
        <w:rPr>
          <w:rFonts w:eastAsia="方正楷体简体"/>
          <w:sz w:val="30"/>
          <w:szCs w:val="30"/>
        </w:rPr>
      </w:pPr>
      <w:r>
        <w:rPr>
          <w:rFonts w:hint="eastAsia" w:ascii="方正黑体简体" w:hAnsi="宋体" w:eastAsia="方正黑体简体" w:cs="宋体"/>
          <w:szCs w:val="32"/>
        </w:rPr>
        <w:t>四、高校类。</w:t>
      </w:r>
      <w:r>
        <w:rPr>
          <w:rFonts w:hint="eastAsia" w:eastAsia="方正仿宋简体"/>
          <w:szCs w:val="32"/>
        </w:rPr>
        <w:t>按办学层次，每年度分三档给予</w:t>
      </w:r>
      <w:r>
        <w:rPr>
          <w:rFonts w:eastAsia="方正仿宋简体"/>
          <w:bCs/>
          <w:szCs w:val="32"/>
        </w:rPr>
        <w:t>5</w:t>
      </w:r>
      <w:r>
        <w:rPr>
          <w:rFonts w:hint="eastAsia" w:eastAsia="方正仿宋简体"/>
          <w:bCs/>
          <w:szCs w:val="32"/>
        </w:rPr>
        <w:t>～</w:t>
      </w:r>
      <w:r>
        <w:rPr>
          <w:rFonts w:eastAsia="方正仿宋简体"/>
          <w:bCs/>
          <w:szCs w:val="32"/>
        </w:rPr>
        <w:t>8</w:t>
      </w:r>
      <w:r>
        <w:rPr>
          <w:rFonts w:hint="eastAsia" w:eastAsia="方正仿宋简体"/>
          <w:bCs/>
          <w:szCs w:val="32"/>
        </w:rPr>
        <w:t>个</w:t>
      </w:r>
      <w:r>
        <w:rPr>
          <w:rFonts w:hint="eastAsia" w:eastAsia="方正仿宋简体"/>
          <w:szCs w:val="32"/>
        </w:rPr>
        <w:t>市高层次人才自主认定配额指标</w:t>
      </w:r>
      <w:r>
        <w:rPr>
          <w:rFonts w:hint="eastAsia" w:eastAsia="方正楷体简体"/>
          <w:sz w:val="30"/>
          <w:szCs w:val="30"/>
        </w:rPr>
        <w:t>。</w:t>
      </w:r>
    </w:p>
    <w:p>
      <w:pPr>
        <w:pStyle w:val="4"/>
        <w:spacing w:after="0" w:line="540" w:lineRule="exact"/>
        <w:rPr>
          <w:rFonts w:eastAsia="方正仿宋简体"/>
          <w:bCs/>
          <w:szCs w:val="32"/>
        </w:rPr>
      </w:pPr>
      <w:r>
        <w:rPr>
          <w:rFonts w:hint="eastAsia" w:ascii="方正黑体简体" w:hAnsi="宋体" w:eastAsia="方正黑体简体" w:cs="宋体"/>
          <w:szCs w:val="32"/>
        </w:rPr>
        <w:t>五、金融机构类。</w:t>
      </w:r>
      <w:r>
        <w:rPr>
          <w:rFonts w:hint="eastAsia" w:eastAsia="方正仿宋简体"/>
          <w:bCs/>
          <w:szCs w:val="32"/>
        </w:rPr>
        <w:t>上一年度在泉实际纳税额度超</w:t>
      </w:r>
      <w:r>
        <w:rPr>
          <w:rFonts w:eastAsia="方正仿宋简体"/>
          <w:bCs/>
          <w:szCs w:val="32"/>
        </w:rPr>
        <w:t>1</w:t>
      </w:r>
      <w:r>
        <w:rPr>
          <w:rFonts w:hint="eastAsia" w:eastAsia="方正仿宋简体"/>
          <w:bCs/>
          <w:szCs w:val="32"/>
        </w:rPr>
        <w:t>亿元的独立法人金融机构或全国性金融机构分支（二级分支机构及以上），当年度分三个档次给予</w:t>
      </w:r>
      <w:r>
        <w:rPr>
          <w:rFonts w:eastAsia="方正仿宋简体"/>
          <w:bCs/>
          <w:szCs w:val="32"/>
        </w:rPr>
        <w:t>3</w:t>
      </w:r>
      <w:r>
        <w:rPr>
          <w:rFonts w:hint="eastAsia" w:eastAsia="方正仿宋简体"/>
          <w:bCs/>
          <w:szCs w:val="32"/>
        </w:rPr>
        <w:t>～</w:t>
      </w:r>
      <w:r>
        <w:rPr>
          <w:rFonts w:eastAsia="方正仿宋简体"/>
          <w:bCs/>
          <w:szCs w:val="32"/>
        </w:rPr>
        <w:t>15</w:t>
      </w:r>
      <w:r>
        <w:rPr>
          <w:rFonts w:hint="eastAsia" w:eastAsia="方正仿宋简体"/>
          <w:bCs/>
          <w:szCs w:val="32"/>
        </w:rPr>
        <w:t>个市高层次人才自主认定配额指标；经投中、清科、</w:t>
      </w:r>
      <w:r>
        <w:rPr>
          <w:rFonts w:eastAsia="方正仿宋简体"/>
          <w:bCs/>
          <w:szCs w:val="32"/>
        </w:rPr>
        <w:t>36</w:t>
      </w:r>
      <w:r>
        <w:rPr>
          <w:rFonts w:hint="eastAsia" w:eastAsia="方正仿宋简体"/>
          <w:bCs/>
          <w:szCs w:val="32"/>
        </w:rPr>
        <w:t>氪等权威机构发布的天使投资、创业投资、股权投资等年度名单中排名前</w:t>
      </w:r>
      <w:r>
        <w:rPr>
          <w:rFonts w:eastAsia="方正仿宋简体"/>
          <w:bCs/>
          <w:szCs w:val="32"/>
        </w:rPr>
        <w:t>20</w:t>
      </w:r>
      <w:r>
        <w:rPr>
          <w:rFonts w:hint="eastAsia" w:eastAsia="方正仿宋简体"/>
          <w:bCs/>
          <w:szCs w:val="32"/>
        </w:rPr>
        <w:t>名的股权投资管理企业，当年度给予</w:t>
      </w:r>
      <w:r>
        <w:rPr>
          <w:rFonts w:eastAsia="方正仿宋简体"/>
          <w:bCs/>
          <w:szCs w:val="32"/>
        </w:rPr>
        <w:t>4</w:t>
      </w:r>
      <w:r>
        <w:rPr>
          <w:rFonts w:hint="eastAsia" w:eastAsia="方正仿宋简体"/>
          <w:bCs/>
          <w:szCs w:val="32"/>
        </w:rPr>
        <w:t>个市高层次人才自主认定配额指标。</w:t>
      </w:r>
    </w:p>
    <w:p>
      <w:pPr>
        <w:pStyle w:val="4"/>
        <w:spacing w:after="0" w:line="540" w:lineRule="exact"/>
        <w:rPr>
          <w:rFonts w:eastAsia="方正仿宋简体"/>
          <w:szCs w:val="32"/>
        </w:rPr>
      </w:pPr>
      <w:r>
        <w:rPr>
          <w:rFonts w:hint="eastAsia" w:ascii="方正黑体简体" w:hAnsi="宋体" w:eastAsia="方正黑体简体" w:cs="宋体"/>
          <w:szCs w:val="32"/>
        </w:rPr>
        <w:t>六、“一事一议”单位类。</w:t>
      </w:r>
      <w:r>
        <w:rPr>
          <w:rFonts w:hint="eastAsia" w:eastAsia="方正仿宋简体"/>
          <w:szCs w:val="32"/>
        </w:rPr>
        <w:t>结合实际情况，专案研究评估，原则上市高层次人才自主认定年度配额指标不超过</w:t>
      </w:r>
      <w:r>
        <w:rPr>
          <w:rFonts w:eastAsia="方正仿宋简体"/>
          <w:szCs w:val="32"/>
        </w:rPr>
        <w:t>5</w:t>
      </w:r>
      <w:r>
        <w:rPr>
          <w:rFonts w:hint="eastAsia" w:eastAsia="方正仿宋简体"/>
          <w:szCs w:val="32"/>
        </w:rPr>
        <w:t>个。</w:t>
      </w:r>
    </w:p>
    <w:p>
      <w:pPr>
        <w:pStyle w:val="4"/>
        <w:spacing w:after="0" w:line="540" w:lineRule="exact"/>
        <w:rPr>
          <w:rFonts w:eastAsia="方正仿宋简体"/>
          <w:szCs w:val="32"/>
        </w:rPr>
      </w:pPr>
      <w:r>
        <w:rPr>
          <w:rFonts w:hint="eastAsia" w:eastAsia="方正仿宋简体"/>
          <w:szCs w:val="32"/>
        </w:rPr>
        <w:t>原已纳入试点单位但客观原因造成在泉年纳税额等贡献度评估指标达不到资格条件的，可继续保留试点资格</w:t>
      </w:r>
      <w:r>
        <w:rPr>
          <w:rFonts w:eastAsia="方正仿宋简体"/>
          <w:szCs w:val="32"/>
        </w:rPr>
        <w:t>1</w:t>
      </w:r>
      <w:r>
        <w:rPr>
          <w:rFonts w:hint="eastAsia" w:eastAsia="方正仿宋简体"/>
          <w:szCs w:val="32"/>
        </w:rPr>
        <w:t>年，配额指标数量执行所属类型的最低分档标准。</w:t>
      </w:r>
    </w:p>
    <w:p>
      <w:pPr>
        <w:pStyle w:val="4"/>
        <w:spacing w:after="0" w:line="540" w:lineRule="exact"/>
        <w:rPr>
          <w:rFonts w:eastAsia="方正仿宋简体"/>
          <w:szCs w:val="32"/>
        </w:rPr>
      </w:pPr>
      <w:r>
        <w:rPr>
          <w:rFonts w:hint="eastAsia" w:eastAsia="方正仿宋简体"/>
          <w:szCs w:val="32"/>
        </w:rPr>
        <w:t>原已纳入试点单位且启动自主认定工作的，实行“新人新办法”“老人老办法”。原已认定且尚在认期内的人选，不占用配额指标；本办法实施后新认定对象或认期满重新续认对象，严格执行配额制，且当年度配额数未使用的，不累计存续到下一个年度使用。对试点单位配额指标不足，而新增的紧缺急需引进人才数量较多的，可申请预支使用下一个年度的配额指标，并制定过渡消化方案。对我市产业转型升级、高质量发展能产生重大影响力、作出突出贡献的用人单位或引进人才（团队），必要时可“一事一议”给予核增配额指标。</w:t>
      </w:r>
    </w:p>
    <w:p>
      <w:pPr>
        <w:pStyle w:val="9"/>
        <w:rPr>
          <w:rFonts w:ascii="Times New Roman" w:hAnsi="Times New Roman" w:eastAsia="仿宋_GB2312" w:cs="Times New Roman"/>
          <w:sz w:val="32"/>
          <w:szCs w:val="32"/>
        </w:rPr>
      </w:pPr>
    </w:p>
    <w:p>
      <w:pPr>
        <w:widowControl/>
        <w:jc w:val="left"/>
        <w:rPr>
          <w:rFonts w:eastAsia="仿宋_GB2312"/>
          <w:sz w:val="32"/>
          <w:szCs w:val="32"/>
        </w:rPr>
      </w:pPr>
    </w:p>
    <w:p>
      <w:pPr>
        <w:widowControl/>
        <w:jc w:val="left"/>
        <w:rPr>
          <w:rFonts w:eastAsia="仿宋_GB2312"/>
          <w:sz w:val="32"/>
          <w:szCs w:val="32"/>
        </w:rPr>
        <w:sectPr>
          <w:footerReference r:id="rId3" w:type="default"/>
          <w:footerReference r:id="rId4" w:type="even"/>
          <w:pgSz w:w="11906" w:h="16838"/>
          <w:pgMar w:top="2098" w:right="1531" w:bottom="1985" w:left="1531" w:header="851" w:footer="1191" w:gutter="0"/>
          <w:cols w:space="720" w:num="1"/>
          <w:docGrid w:type="linesAndChars" w:linePitch="312" w:charSpace="0"/>
        </w:sectPr>
      </w:pPr>
    </w:p>
    <w:p>
      <w:pPr>
        <w:pStyle w:val="4"/>
        <w:spacing w:line="560" w:lineRule="exact"/>
        <w:ind w:firstLine="0" w:firstLineChars="0"/>
        <w:rPr>
          <w:rFonts w:ascii="方正黑体简体" w:eastAsia="方正黑体简体"/>
          <w:snapToGrid w:val="0"/>
          <w:szCs w:val="32"/>
        </w:rPr>
      </w:pPr>
      <w:r>
        <w:rPr>
          <w:rFonts w:hint="eastAsia" w:ascii="方正黑体简体" w:eastAsia="方正黑体简体"/>
          <w:snapToGrid w:val="0"/>
          <w:szCs w:val="32"/>
        </w:rPr>
        <w:t>附件2</w:t>
      </w:r>
    </w:p>
    <w:p>
      <w:pPr>
        <w:pStyle w:val="4"/>
        <w:spacing w:line="560" w:lineRule="exact"/>
        <w:ind w:firstLine="920"/>
        <w:jc w:val="center"/>
        <w:rPr>
          <w:rFonts w:ascii="方正小标宋简体" w:eastAsia="方正小标宋简体"/>
          <w:sz w:val="44"/>
          <w:szCs w:val="44"/>
        </w:rPr>
      </w:pPr>
    </w:p>
    <w:p>
      <w:pPr>
        <w:pStyle w:val="4"/>
        <w:spacing w:line="560" w:lineRule="exact"/>
        <w:ind w:firstLine="920"/>
        <w:jc w:val="center"/>
        <w:rPr>
          <w:rFonts w:ascii="方正小标宋简体" w:eastAsia="方正小标宋简体"/>
          <w:sz w:val="44"/>
          <w:szCs w:val="44"/>
        </w:rPr>
      </w:pPr>
      <w:r>
        <w:rPr>
          <w:rFonts w:hint="eastAsia" w:ascii="方正小标宋简体" w:eastAsia="方正小标宋简体"/>
          <w:sz w:val="44"/>
          <w:szCs w:val="44"/>
        </w:rPr>
        <w:t>泉州市高层次人才自主认定</w:t>
      </w:r>
    </w:p>
    <w:p>
      <w:pPr>
        <w:pStyle w:val="4"/>
        <w:spacing w:line="560" w:lineRule="exact"/>
        <w:ind w:firstLine="920"/>
        <w:jc w:val="center"/>
        <w:rPr>
          <w:rFonts w:ascii="方正小标宋简体" w:eastAsia="方正小标宋简体"/>
          <w:sz w:val="44"/>
          <w:szCs w:val="44"/>
        </w:rPr>
      </w:pPr>
      <w:r>
        <w:rPr>
          <w:rFonts w:hint="eastAsia" w:ascii="方正小标宋简体" w:eastAsia="方正小标宋简体"/>
          <w:sz w:val="44"/>
          <w:szCs w:val="44"/>
        </w:rPr>
        <w:t>分档配额指标安排表</w:t>
      </w:r>
    </w:p>
    <w:tbl>
      <w:tblPr>
        <w:tblStyle w:val="11"/>
        <w:tblpPr w:leftFromText="180" w:rightFromText="180" w:vertAnchor="text" w:horzAnchor="margin" w:tblpX="6" w:tblpY="28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701"/>
        <w:gridCol w:w="1418"/>
        <w:gridCol w:w="1701"/>
        <w:gridCol w:w="850"/>
        <w:gridCol w:w="851"/>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384" w:type="dxa"/>
            <w:vAlign w:val="center"/>
          </w:tcPr>
          <w:p>
            <w:pPr>
              <w:spacing w:line="360" w:lineRule="exact"/>
              <w:jc w:val="center"/>
              <w:rPr>
                <w:rFonts w:ascii="方正楷体简体" w:hAnsi="宋体" w:eastAsia="方正楷体简体" w:cs="等线"/>
                <w:b/>
                <w:spacing w:val="-20"/>
                <w:sz w:val="28"/>
                <w:szCs w:val="28"/>
              </w:rPr>
            </w:pPr>
            <w:r>
              <w:rPr>
                <w:rFonts w:hint="eastAsia" w:ascii="方正楷体简体" w:hAnsi="等线" w:eastAsia="方正楷体简体"/>
                <w:b/>
                <w:spacing w:val="-20"/>
                <w:sz w:val="28"/>
                <w:szCs w:val="28"/>
              </w:rPr>
              <w:t>类别</w:t>
            </w:r>
          </w:p>
        </w:tc>
        <w:tc>
          <w:tcPr>
            <w:tcW w:w="4820" w:type="dxa"/>
            <w:gridSpan w:val="3"/>
            <w:vAlign w:val="center"/>
          </w:tcPr>
          <w:p>
            <w:pPr>
              <w:spacing w:line="360" w:lineRule="exact"/>
              <w:jc w:val="center"/>
              <w:rPr>
                <w:rFonts w:ascii="方正楷体简体" w:hAnsi="宋体" w:eastAsia="方正楷体简体" w:cs="等线"/>
                <w:b/>
                <w:sz w:val="28"/>
                <w:szCs w:val="28"/>
              </w:rPr>
            </w:pPr>
            <w:r>
              <w:rPr>
                <w:rFonts w:hint="eastAsia" w:ascii="方正楷体简体" w:hAnsi="等线" w:eastAsia="方正楷体简体"/>
                <w:b/>
                <w:sz w:val="28"/>
                <w:szCs w:val="28"/>
              </w:rPr>
              <w:t>配额依据</w:t>
            </w:r>
          </w:p>
        </w:tc>
        <w:tc>
          <w:tcPr>
            <w:tcW w:w="3118" w:type="dxa"/>
            <w:gridSpan w:val="4"/>
            <w:vAlign w:val="center"/>
          </w:tcPr>
          <w:p>
            <w:pPr>
              <w:spacing w:line="360" w:lineRule="exact"/>
              <w:jc w:val="center"/>
              <w:rPr>
                <w:rFonts w:ascii="方正楷体简体" w:hAnsi="宋体" w:eastAsia="方正楷体简体" w:cs="等线"/>
                <w:b/>
                <w:sz w:val="28"/>
                <w:szCs w:val="28"/>
              </w:rPr>
            </w:pPr>
            <w:r>
              <w:rPr>
                <w:rFonts w:hint="eastAsia" w:ascii="方正楷体简体" w:hAnsi="等线" w:eastAsia="方正楷体简体"/>
                <w:b/>
                <w:sz w:val="28"/>
                <w:szCs w:val="28"/>
              </w:rPr>
              <w:t>年度配额指标（人）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384" w:type="dxa"/>
            <w:vMerge w:val="restart"/>
            <w:vAlign w:val="center"/>
          </w:tcPr>
          <w:p>
            <w:pPr>
              <w:spacing w:line="400" w:lineRule="exact"/>
              <w:jc w:val="center"/>
              <w:rPr>
                <w:rFonts w:eastAsia="方正黑体简体"/>
                <w:spacing w:val="-20"/>
                <w:sz w:val="28"/>
                <w:szCs w:val="28"/>
              </w:rPr>
            </w:pPr>
            <w:r>
              <w:rPr>
                <w:rFonts w:hint="eastAsia" w:eastAsia="方正黑体简体"/>
                <w:spacing w:val="-20"/>
                <w:sz w:val="28"/>
                <w:szCs w:val="28"/>
              </w:rPr>
              <w:t>一般规上</w:t>
            </w:r>
          </w:p>
          <w:p>
            <w:pPr>
              <w:spacing w:line="400" w:lineRule="exact"/>
              <w:jc w:val="center"/>
              <w:rPr>
                <w:rFonts w:eastAsia="方正黑体简体"/>
                <w:sz w:val="28"/>
                <w:szCs w:val="28"/>
              </w:rPr>
            </w:pPr>
            <w:r>
              <w:rPr>
                <w:rFonts w:hint="eastAsia" w:eastAsia="方正黑体简体"/>
                <w:sz w:val="28"/>
                <w:szCs w:val="28"/>
              </w:rPr>
              <w:t>企业类</w:t>
            </w:r>
          </w:p>
        </w:tc>
        <w:tc>
          <w:tcPr>
            <w:tcW w:w="4820" w:type="dxa"/>
            <w:gridSpan w:val="3"/>
            <w:vAlign w:val="center"/>
          </w:tcPr>
          <w:p>
            <w:pPr>
              <w:spacing w:line="360" w:lineRule="exact"/>
              <w:jc w:val="center"/>
              <w:rPr>
                <w:rFonts w:eastAsia="方正楷体简体"/>
                <w:spacing w:val="-12"/>
                <w:sz w:val="28"/>
                <w:szCs w:val="28"/>
              </w:rPr>
            </w:pPr>
            <w:r>
              <w:rPr>
                <w:rFonts w:hint="eastAsia" w:eastAsia="方正楷体简体"/>
                <w:spacing w:val="-12"/>
                <w:sz w:val="28"/>
                <w:szCs w:val="28"/>
              </w:rPr>
              <w:t>上一年度纳税额</w:t>
            </w:r>
          </w:p>
        </w:tc>
        <w:tc>
          <w:tcPr>
            <w:tcW w:w="850" w:type="dxa"/>
            <w:vAlign w:val="center"/>
          </w:tcPr>
          <w:p>
            <w:pPr>
              <w:spacing w:line="360" w:lineRule="exact"/>
              <w:jc w:val="center"/>
              <w:rPr>
                <w:rFonts w:eastAsia="方正楷体简体"/>
                <w:spacing w:val="-12"/>
                <w:sz w:val="28"/>
                <w:szCs w:val="28"/>
              </w:rPr>
            </w:pPr>
            <w:r>
              <w:rPr>
                <w:rFonts w:hint="eastAsia" w:eastAsia="方正楷体简体"/>
                <w:spacing w:val="-12"/>
                <w:sz w:val="28"/>
                <w:szCs w:val="28"/>
              </w:rPr>
              <w:t>第三</w:t>
            </w:r>
          </w:p>
          <w:p>
            <w:pPr>
              <w:spacing w:line="360" w:lineRule="exact"/>
              <w:jc w:val="center"/>
              <w:rPr>
                <w:rFonts w:eastAsia="方正楷体简体"/>
                <w:spacing w:val="-12"/>
                <w:sz w:val="28"/>
                <w:szCs w:val="28"/>
              </w:rPr>
            </w:pPr>
            <w:r>
              <w:rPr>
                <w:rFonts w:hint="eastAsia" w:eastAsia="方正楷体简体"/>
                <w:spacing w:val="-12"/>
                <w:sz w:val="28"/>
                <w:szCs w:val="28"/>
              </w:rPr>
              <w:t>层次</w:t>
            </w:r>
          </w:p>
        </w:tc>
        <w:tc>
          <w:tcPr>
            <w:tcW w:w="851" w:type="dxa"/>
            <w:vAlign w:val="center"/>
          </w:tcPr>
          <w:p>
            <w:pPr>
              <w:spacing w:line="360" w:lineRule="exact"/>
              <w:jc w:val="center"/>
              <w:rPr>
                <w:rFonts w:eastAsia="方正楷体简体"/>
                <w:spacing w:val="-12"/>
                <w:sz w:val="28"/>
                <w:szCs w:val="28"/>
              </w:rPr>
            </w:pPr>
            <w:r>
              <w:rPr>
                <w:rFonts w:hint="eastAsia" w:eastAsia="方正楷体简体"/>
                <w:spacing w:val="-12"/>
                <w:sz w:val="28"/>
                <w:szCs w:val="28"/>
              </w:rPr>
              <w:t>第四</w:t>
            </w:r>
          </w:p>
          <w:p>
            <w:pPr>
              <w:spacing w:line="360" w:lineRule="exact"/>
              <w:jc w:val="center"/>
              <w:rPr>
                <w:rFonts w:eastAsia="方正楷体简体"/>
                <w:spacing w:val="-12"/>
                <w:sz w:val="28"/>
                <w:szCs w:val="28"/>
              </w:rPr>
            </w:pPr>
            <w:r>
              <w:rPr>
                <w:rFonts w:hint="eastAsia" w:eastAsia="方正楷体简体"/>
                <w:spacing w:val="-12"/>
                <w:sz w:val="28"/>
                <w:szCs w:val="28"/>
              </w:rPr>
              <w:t>层次</w:t>
            </w:r>
          </w:p>
        </w:tc>
        <w:tc>
          <w:tcPr>
            <w:tcW w:w="850" w:type="dxa"/>
            <w:vAlign w:val="center"/>
          </w:tcPr>
          <w:p>
            <w:pPr>
              <w:spacing w:line="360" w:lineRule="exact"/>
              <w:jc w:val="center"/>
              <w:rPr>
                <w:rFonts w:eastAsia="方正楷体简体"/>
                <w:spacing w:val="-12"/>
                <w:sz w:val="28"/>
                <w:szCs w:val="28"/>
              </w:rPr>
            </w:pPr>
            <w:r>
              <w:rPr>
                <w:rFonts w:hint="eastAsia" w:eastAsia="方正楷体简体"/>
                <w:spacing w:val="-12"/>
                <w:sz w:val="28"/>
                <w:szCs w:val="28"/>
              </w:rPr>
              <w:t>第五</w:t>
            </w:r>
          </w:p>
          <w:p>
            <w:pPr>
              <w:spacing w:line="360" w:lineRule="exact"/>
              <w:jc w:val="center"/>
              <w:rPr>
                <w:rFonts w:eastAsia="方正楷体简体"/>
                <w:spacing w:val="-12"/>
                <w:sz w:val="28"/>
                <w:szCs w:val="28"/>
              </w:rPr>
            </w:pPr>
            <w:r>
              <w:rPr>
                <w:rFonts w:hint="eastAsia" w:eastAsia="方正楷体简体"/>
                <w:spacing w:val="-12"/>
                <w:sz w:val="28"/>
                <w:szCs w:val="28"/>
              </w:rPr>
              <w:t>层次</w:t>
            </w:r>
          </w:p>
        </w:tc>
        <w:tc>
          <w:tcPr>
            <w:tcW w:w="567" w:type="dxa"/>
            <w:vAlign w:val="center"/>
          </w:tcPr>
          <w:p>
            <w:pPr>
              <w:spacing w:line="360" w:lineRule="exact"/>
              <w:jc w:val="center"/>
              <w:rPr>
                <w:rFonts w:eastAsia="仿宋_GB2312"/>
                <w:color w:val="000000"/>
                <w:sz w:val="28"/>
                <w:szCs w:val="28"/>
              </w:rPr>
            </w:pPr>
            <w:r>
              <w:rPr>
                <w:rFonts w:hint="eastAsia" w:eastAsia="方正楷体简体"/>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5</w:t>
            </w:r>
            <w:r>
              <w:rPr>
                <w:rFonts w:hint="eastAsia" w:eastAsia="仿宋_GB2312"/>
                <w:sz w:val="28"/>
                <w:szCs w:val="28"/>
              </w:rPr>
              <w:t>亿元以上</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4</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8</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3</w:t>
            </w:r>
            <w:r>
              <w:rPr>
                <w:rFonts w:hint="eastAsia" w:eastAsia="仿宋_GB2312"/>
                <w:sz w:val="28"/>
                <w:szCs w:val="28"/>
              </w:rPr>
              <w:t>亿元以上至</w:t>
            </w:r>
            <w:r>
              <w:rPr>
                <w:rFonts w:eastAsia="仿宋_GB2312"/>
                <w:sz w:val="28"/>
                <w:szCs w:val="28"/>
              </w:rPr>
              <w:t>5</w:t>
            </w:r>
            <w:r>
              <w:rPr>
                <w:rFonts w:hint="eastAsia" w:eastAsia="仿宋_GB2312"/>
                <w:sz w:val="28"/>
                <w:szCs w:val="28"/>
              </w:rPr>
              <w:t>亿元</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2</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3</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5</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1</w:t>
            </w:r>
            <w:r>
              <w:rPr>
                <w:rFonts w:hint="eastAsia" w:eastAsia="仿宋_GB2312"/>
                <w:sz w:val="28"/>
                <w:szCs w:val="28"/>
              </w:rPr>
              <w:t>亿元以上至</w:t>
            </w:r>
            <w:r>
              <w:rPr>
                <w:rFonts w:eastAsia="仿宋_GB2312"/>
                <w:sz w:val="28"/>
                <w:szCs w:val="28"/>
              </w:rPr>
              <w:t>3</w:t>
            </w:r>
            <w:r>
              <w:rPr>
                <w:rFonts w:hint="eastAsia" w:eastAsia="仿宋_GB2312"/>
                <w:sz w:val="28"/>
                <w:szCs w:val="28"/>
              </w:rPr>
              <w:t>亿元</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1</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2</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5</w:t>
            </w:r>
            <w:r>
              <w:rPr>
                <w:rFonts w:hint="eastAsia" w:eastAsia="仿宋_GB2312"/>
                <w:sz w:val="28"/>
                <w:szCs w:val="28"/>
              </w:rPr>
              <w:t>千万元以上至</w:t>
            </w:r>
            <w:r>
              <w:rPr>
                <w:rFonts w:eastAsia="仿宋_GB2312"/>
                <w:sz w:val="28"/>
                <w:szCs w:val="28"/>
              </w:rPr>
              <w:t>1</w:t>
            </w:r>
            <w:r>
              <w:rPr>
                <w:rFonts w:hint="eastAsia" w:eastAsia="仿宋_GB2312"/>
                <w:sz w:val="28"/>
                <w:szCs w:val="28"/>
              </w:rPr>
              <w:t>亿元</w:t>
            </w:r>
          </w:p>
        </w:tc>
        <w:tc>
          <w:tcPr>
            <w:tcW w:w="850" w:type="dxa"/>
          </w:tcPr>
          <w:p>
            <w:pPr>
              <w:spacing w:line="360" w:lineRule="exact"/>
              <w:jc w:val="center"/>
              <w:rPr>
                <w:rFonts w:eastAsia="仿宋_GB2312"/>
                <w:color w:val="000000"/>
                <w:sz w:val="28"/>
                <w:szCs w:val="28"/>
              </w:rPr>
            </w:pPr>
          </w:p>
        </w:tc>
        <w:tc>
          <w:tcPr>
            <w:tcW w:w="851" w:type="dxa"/>
          </w:tcPr>
          <w:p>
            <w:pPr>
              <w:spacing w:line="360" w:lineRule="exact"/>
              <w:jc w:val="center"/>
              <w:rPr>
                <w:rFonts w:eastAsia="仿宋_GB2312"/>
                <w:color w:val="000000"/>
                <w:sz w:val="28"/>
                <w:szCs w:val="28"/>
              </w:rPr>
            </w:pPr>
            <w:r>
              <w:rPr>
                <w:rFonts w:eastAsia="仿宋_GB2312"/>
                <w:color w:val="000000"/>
                <w:sz w:val="28"/>
                <w:szCs w:val="28"/>
              </w:rPr>
              <w:t>2</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3</w:t>
            </w:r>
            <w:r>
              <w:rPr>
                <w:rFonts w:hint="eastAsia" w:eastAsia="仿宋_GB2312"/>
                <w:sz w:val="28"/>
                <w:szCs w:val="28"/>
              </w:rPr>
              <w:t>千万元以上至</w:t>
            </w:r>
            <w:r>
              <w:rPr>
                <w:rFonts w:eastAsia="仿宋_GB2312"/>
                <w:sz w:val="28"/>
                <w:szCs w:val="28"/>
              </w:rPr>
              <w:t>5</w:t>
            </w:r>
            <w:r>
              <w:rPr>
                <w:rFonts w:hint="eastAsia" w:eastAsia="仿宋_GB2312"/>
                <w:sz w:val="28"/>
                <w:szCs w:val="28"/>
              </w:rPr>
              <w:t>千万元</w:t>
            </w:r>
          </w:p>
        </w:tc>
        <w:tc>
          <w:tcPr>
            <w:tcW w:w="850" w:type="dxa"/>
          </w:tcPr>
          <w:p>
            <w:pPr>
              <w:spacing w:line="360" w:lineRule="exact"/>
              <w:jc w:val="center"/>
              <w:rPr>
                <w:rFonts w:eastAsia="仿宋_GB2312"/>
                <w:color w:val="000000"/>
                <w:sz w:val="28"/>
                <w:szCs w:val="28"/>
              </w:rPr>
            </w:pPr>
          </w:p>
        </w:tc>
        <w:tc>
          <w:tcPr>
            <w:tcW w:w="851" w:type="dxa"/>
          </w:tcPr>
          <w:p>
            <w:pPr>
              <w:spacing w:line="360" w:lineRule="exact"/>
              <w:jc w:val="center"/>
              <w:rPr>
                <w:rFonts w:eastAsia="仿宋_GB2312"/>
                <w:color w:val="000000"/>
                <w:sz w:val="28"/>
                <w:szCs w:val="28"/>
              </w:rPr>
            </w:pPr>
            <w:r>
              <w:rPr>
                <w:rFonts w:eastAsia="仿宋_GB2312"/>
                <w:color w:val="000000"/>
                <w:sz w:val="28"/>
                <w:szCs w:val="28"/>
              </w:rPr>
              <w:t>1</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trPr>
        <w:tc>
          <w:tcPr>
            <w:tcW w:w="1384" w:type="dxa"/>
            <w:vMerge w:val="continue"/>
            <w:vAlign w:val="center"/>
          </w:tcPr>
          <w:p>
            <w:pPr>
              <w:widowControl/>
              <w:spacing w:line="400" w:lineRule="exact"/>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1</w:t>
            </w:r>
            <w:r>
              <w:rPr>
                <w:rFonts w:hint="eastAsia" w:eastAsia="仿宋_GB2312"/>
                <w:sz w:val="28"/>
                <w:szCs w:val="28"/>
              </w:rPr>
              <w:t>千万元以上至</w:t>
            </w:r>
            <w:r>
              <w:rPr>
                <w:rFonts w:eastAsia="仿宋_GB2312"/>
                <w:sz w:val="28"/>
                <w:szCs w:val="28"/>
              </w:rPr>
              <w:t>3</w:t>
            </w:r>
            <w:r>
              <w:rPr>
                <w:rFonts w:hint="eastAsia" w:eastAsia="仿宋_GB2312"/>
                <w:sz w:val="28"/>
                <w:szCs w:val="28"/>
              </w:rPr>
              <w:t>千万元</w:t>
            </w:r>
          </w:p>
        </w:tc>
        <w:tc>
          <w:tcPr>
            <w:tcW w:w="850" w:type="dxa"/>
          </w:tcPr>
          <w:p>
            <w:pPr>
              <w:spacing w:line="360" w:lineRule="exact"/>
              <w:jc w:val="center"/>
              <w:rPr>
                <w:rFonts w:eastAsia="仿宋_GB2312"/>
                <w:color w:val="000000"/>
                <w:sz w:val="28"/>
                <w:szCs w:val="28"/>
              </w:rPr>
            </w:pPr>
          </w:p>
        </w:tc>
        <w:tc>
          <w:tcPr>
            <w:tcW w:w="851" w:type="dxa"/>
          </w:tcPr>
          <w:p>
            <w:pPr>
              <w:spacing w:line="360" w:lineRule="exact"/>
              <w:jc w:val="center"/>
              <w:rPr>
                <w:rFonts w:eastAsia="仿宋_GB2312"/>
                <w:color w:val="000000"/>
                <w:sz w:val="28"/>
                <w:szCs w:val="28"/>
              </w:rPr>
            </w:pPr>
            <w:r>
              <w:rPr>
                <w:rFonts w:eastAsia="仿宋_GB2312"/>
                <w:color w:val="000000"/>
                <w:sz w:val="28"/>
                <w:szCs w:val="28"/>
              </w:rPr>
              <w:t>1</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2</w:t>
            </w:r>
          </w:p>
        </w:tc>
        <w:tc>
          <w:tcPr>
            <w:tcW w:w="567" w:type="dxa"/>
          </w:tcPr>
          <w:p>
            <w:pPr>
              <w:spacing w:line="360" w:lineRule="exact"/>
              <w:jc w:val="center"/>
              <w:rPr>
                <w:rFonts w:eastAsia="仿宋_GB2312"/>
                <w:b/>
                <w:color w:val="000000"/>
                <w:sz w:val="28"/>
                <w:szCs w:val="28"/>
              </w:rPr>
            </w:pPr>
            <w:r>
              <w:rPr>
                <w:rFonts w:eastAsia="仿宋_GB2312"/>
                <w:b/>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trPr>
        <w:tc>
          <w:tcPr>
            <w:tcW w:w="1384" w:type="dxa"/>
            <w:vMerge w:val="restart"/>
            <w:vAlign w:val="center"/>
          </w:tcPr>
          <w:p>
            <w:pPr>
              <w:spacing w:line="400" w:lineRule="exact"/>
              <w:jc w:val="center"/>
              <w:rPr>
                <w:rFonts w:eastAsia="方正黑体简体"/>
                <w:sz w:val="28"/>
                <w:szCs w:val="28"/>
              </w:rPr>
            </w:pPr>
            <w:r>
              <w:rPr>
                <w:rFonts w:hint="eastAsia" w:eastAsia="方正黑体简体"/>
                <w:sz w:val="28"/>
                <w:szCs w:val="28"/>
              </w:rPr>
              <w:t>科技型</w:t>
            </w:r>
          </w:p>
          <w:p>
            <w:pPr>
              <w:spacing w:line="400" w:lineRule="exact"/>
              <w:jc w:val="center"/>
              <w:rPr>
                <w:rFonts w:eastAsia="方正黑体简体"/>
                <w:sz w:val="28"/>
                <w:szCs w:val="28"/>
              </w:rPr>
            </w:pPr>
            <w:r>
              <w:rPr>
                <w:rFonts w:hint="eastAsia" w:eastAsia="方正黑体简体"/>
                <w:sz w:val="28"/>
                <w:szCs w:val="28"/>
              </w:rPr>
              <w:t>企业类</w:t>
            </w:r>
          </w:p>
        </w:tc>
        <w:tc>
          <w:tcPr>
            <w:tcW w:w="4820" w:type="dxa"/>
            <w:gridSpan w:val="3"/>
            <w:vAlign w:val="center"/>
          </w:tcPr>
          <w:p>
            <w:pPr>
              <w:spacing w:line="360" w:lineRule="exact"/>
              <w:jc w:val="left"/>
              <w:rPr>
                <w:rFonts w:eastAsia="仿宋_GB2312"/>
                <w:sz w:val="28"/>
                <w:szCs w:val="28"/>
              </w:rPr>
            </w:pPr>
            <w:r>
              <w:rPr>
                <w:rFonts w:hint="eastAsia" w:eastAsia="仿宋_GB2312"/>
                <w:sz w:val="28"/>
                <w:szCs w:val="28"/>
              </w:rPr>
              <w:t>营收额超</w:t>
            </w:r>
            <w:r>
              <w:rPr>
                <w:rFonts w:eastAsia="仿宋_GB2312"/>
                <w:sz w:val="28"/>
                <w:szCs w:val="28"/>
              </w:rPr>
              <w:t>1</w:t>
            </w:r>
            <w:r>
              <w:rPr>
                <w:rFonts w:hint="eastAsia" w:eastAsia="仿宋_GB2312"/>
                <w:sz w:val="28"/>
                <w:szCs w:val="28"/>
              </w:rPr>
              <w:t>亿元以上</w:t>
            </w:r>
          </w:p>
        </w:tc>
        <w:tc>
          <w:tcPr>
            <w:tcW w:w="850" w:type="dxa"/>
            <w:vAlign w:val="center"/>
          </w:tcPr>
          <w:p>
            <w:pPr>
              <w:spacing w:line="360" w:lineRule="exact"/>
              <w:jc w:val="center"/>
              <w:rPr>
                <w:rFonts w:eastAsia="仿宋_GB2312"/>
                <w:sz w:val="28"/>
                <w:szCs w:val="28"/>
              </w:rPr>
            </w:pPr>
            <w:r>
              <w:rPr>
                <w:rFonts w:eastAsia="仿宋_GB2312"/>
                <w:sz w:val="28"/>
                <w:szCs w:val="28"/>
              </w:rPr>
              <w:t>1</w:t>
            </w:r>
          </w:p>
        </w:tc>
        <w:tc>
          <w:tcPr>
            <w:tcW w:w="851" w:type="dxa"/>
            <w:vAlign w:val="center"/>
          </w:tcPr>
          <w:p>
            <w:pPr>
              <w:spacing w:line="360" w:lineRule="exact"/>
              <w:jc w:val="center"/>
              <w:rPr>
                <w:rFonts w:eastAsia="仿宋_GB2312"/>
                <w:sz w:val="28"/>
                <w:szCs w:val="28"/>
              </w:rPr>
            </w:pPr>
            <w:r>
              <w:rPr>
                <w:rFonts w:eastAsia="仿宋_GB2312"/>
                <w:sz w:val="28"/>
                <w:szCs w:val="28"/>
              </w:rPr>
              <w:t>2</w:t>
            </w:r>
          </w:p>
        </w:tc>
        <w:tc>
          <w:tcPr>
            <w:tcW w:w="850" w:type="dxa"/>
            <w:vAlign w:val="center"/>
          </w:tcPr>
          <w:p>
            <w:pPr>
              <w:spacing w:line="360" w:lineRule="exact"/>
              <w:jc w:val="center"/>
              <w:rPr>
                <w:rFonts w:eastAsia="仿宋_GB2312"/>
                <w:sz w:val="28"/>
                <w:szCs w:val="28"/>
              </w:rPr>
            </w:pPr>
            <w:r>
              <w:rPr>
                <w:rFonts w:eastAsia="仿宋_GB2312"/>
                <w:sz w:val="28"/>
                <w:szCs w:val="28"/>
              </w:rPr>
              <w:t>3</w:t>
            </w:r>
          </w:p>
        </w:tc>
        <w:tc>
          <w:tcPr>
            <w:tcW w:w="567" w:type="dxa"/>
            <w:vAlign w:val="center"/>
          </w:tcPr>
          <w:p>
            <w:pPr>
              <w:spacing w:line="360" w:lineRule="exact"/>
              <w:jc w:val="center"/>
              <w:rPr>
                <w:rFonts w:eastAsia="仿宋_GB2312"/>
                <w:sz w:val="28"/>
                <w:szCs w:val="28"/>
              </w:rPr>
            </w:pPr>
            <w:r>
              <w:rPr>
                <w:rFonts w:eastAsia="仿宋_GB2312"/>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1384" w:type="dxa"/>
            <w:vMerge w:val="continue"/>
            <w:vAlign w:val="center"/>
          </w:tcPr>
          <w:p>
            <w:pPr>
              <w:widowControl/>
              <w:spacing w:line="260" w:lineRule="exact"/>
              <w:jc w:val="center"/>
              <w:rPr>
                <w:rFonts w:eastAsia="方正黑体简体"/>
                <w:sz w:val="28"/>
                <w:szCs w:val="28"/>
              </w:rPr>
            </w:pPr>
          </w:p>
        </w:tc>
        <w:tc>
          <w:tcPr>
            <w:tcW w:w="4820" w:type="dxa"/>
            <w:gridSpan w:val="3"/>
            <w:vAlign w:val="center"/>
          </w:tcPr>
          <w:p>
            <w:pPr>
              <w:spacing w:line="360" w:lineRule="exact"/>
              <w:jc w:val="left"/>
              <w:rPr>
                <w:rFonts w:eastAsia="仿宋_GB2312"/>
                <w:sz w:val="28"/>
                <w:szCs w:val="28"/>
              </w:rPr>
            </w:pPr>
            <w:r>
              <w:rPr>
                <w:rFonts w:hint="eastAsia" w:eastAsia="仿宋_GB2312"/>
                <w:sz w:val="28"/>
                <w:szCs w:val="28"/>
              </w:rPr>
              <w:t>营收额超</w:t>
            </w:r>
            <w:r>
              <w:rPr>
                <w:rFonts w:eastAsia="仿宋_GB2312"/>
                <w:sz w:val="28"/>
                <w:szCs w:val="28"/>
              </w:rPr>
              <w:t>5000</w:t>
            </w:r>
            <w:r>
              <w:rPr>
                <w:rFonts w:hint="eastAsia" w:eastAsia="仿宋_GB2312"/>
                <w:sz w:val="28"/>
                <w:szCs w:val="28"/>
              </w:rPr>
              <w:t>万元</w:t>
            </w:r>
          </w:p>
        </w:tc>
        <w:tc>
          <w:tcPr>
            <w:tcW w:w="850" w:type="dxa"/>
            <w:vAlign w:val="center"/>
          </w:tcPr>
          <w:p>
            <w:pPr>
              <w:spacing w:line="360" w:lineRule="exact"/>
              <w:jc w:val="center"/>
              <w:rPr>
                <w:rFonts w:eastAsia="仿宋_GB2312"/>
                <w:sz w:val="28"/>
                <w:szCs w:val="28"/>
              </w:rPr>
            </w:pPr>
            <w:r>
              <w:rPr>
                <w:rFonts w:eastAsia="仿宋_GB2312"/>
                <w:sz w:val="28"/>
                <w:szCs w:val="28"/>
              </w:rPr>
              <w:t>1</w:t>
            </w:r>
          </w:p>
        </w:tc>
        <w:tc>
          <w:tcPr>
            <w:tcW w:w="851" w:type="dxa"/>
            <w:vAlign w:val="center"/>
          </w:tcPr>
          <w:p>
            <w:pPr>
              <w:spacing w:line="360" w:lineRule="exact"/>
              <w:jc w:val="center"/>
              <w:rPr>
                <w:rFonts w:eastAsia="仿宋_GB2312"/>
                <w:sz w:val="28"/>
                <w:szCs w:val="28"/>
              </w:rPr>
            </w:pPr>
            <w:r>
              <w:rPr>
                <w:rFonts w:eastAsia="仿宋_GB2312"/>
                <w:sz w:val="28"/>
                <w:szCs w:val="28"/>
              </w:rPr>
              <w:t>1</w:t>
            </w:r>
          </w:p>
        </w:tc>
        <w:tc>
          <w:tcPr>
            <w:tcW w:w="850" w:type="dxa"/>
            <w:vAlign w:val="center"/>
          </w:tcPr>
          <w:p>
            <w:pPr>
              <w:spacing w:line="360" w:lineRule="exact"/>
              <w:jc w:val="center"/>
              <w:rPr>
                <w:rFonts w:eastAsia="仿宋_GB2312"/>
                <w:sz w:val="28"/>
                <w:szCs w:val="28"/>
              </w:rPr>
            </w:pPr>
            <w:r>
              <w:rPr>
                <w:rFonts w:eastAsia="仿宋_GB2312"/>
                <w:sz w:val="28"/>
                <w:szCs w:val="28"/>
              </w:rPr>
              <w:t>2</w:t>
            </w:r>
          </w:p>
        </w:tc>
        <w:tc>
          <w:tcPr>
            <w:tcW w:w="567" w:type="dxa"/>
            <w:vAlign w:val="center"/>
          </w:tcPr>
          <w:p>
            <w:pPr>
              <w:spacing w:line="360" w:lineRule="exact"/>
              <w:jc w:val="center"/>
              <w:rPr>
                <w:rFonts w:eastAsia="仿宋_GB2312"/>
                <w:sz w:val="28"/>
                <w:szCs w:val="28"/>
              </w:rPr>
            </w:pPr>
            <w:r>
              <w:rPr>
                <w:rFonts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spacing w:line="360" w:lineRule="exact"/>
              <w:jc w:val="left"/>
              <w:rPr>
                <w:rFonts w:eastAsia="仿宋_GB2312"/>
                <w:sz w:val="28"/>
                <w:szCs w:val="28"/>
              </w:rPr>
            </w:pPr>
            <w:r>
              <w:rPr>
                <w:rFonts w:hint="eastAsia" w:eastAsia="仿宋_GB2312"/>
                <w:sz w:val="28"/>
                <w:szCs w:val="28"/>
              </w:rPr>
              <w:t>营收额超</w:t>
            </w:r>
            <w:r>
              <w:rPr>
                <w:rFonts w:eastAsia="仿宋_GB2312"/>
                <w:sz w:val="28"/>
                <w:szCs w:val="28"/>
              </w:rPr>
              <w:t>2000</w:t>
            </w:r>
            <w:r>
              <w:rPr>
                <w:rFonts w:hint="eastAsia" w:eastAsia="仿宋_GB2312"/>
                <w:sz w:val="28"/>
                <w:szCs w:val="28"/>
              </w:rPr>
              <w:t>万元</w:t>
            </w:r>
          </w:p>
        </w:tc>
        <w:tc>
          <w:tcPr>
            <w:tcW w:w="850" w:type="dxa"/>
            <w:vAlign w:val="center"/>
          </w:tcPr>
          <w:p>
            <w:pPr>
              <w:spacing w:line="360" w:lineRule="exact"/>
              <w:jc w:val="center"/>
              <w:rPr>
                <w:rFonts w:eastAsia="仿宋_GB2312"/>
                <w:sz w:val="28"/>
                <w:szCs w:val="28"/>
              </w:rPr>
            </w:pPr>
          </w:p>
        </w:tc>
        <w:tc>
          <w:tcPr>
            <w:tcW w:w="851" w:type="dxa"/>
            <w:vAlign w:val="center"/>
          </w:tcPr>
          <w:p>
            <w:pPr>
              <w:spacing w:line="360" w:lineRule="exact"/>
              <w:jc w:val="center"/>
              <w:rPr>
                <w:rFonts w:eastAsia="仿宋_GB2312"/>
                <w:sz w:val="28"/>
                <w:szCs w:val="28"/>
              </w:rPr>
            </w:pPr>
            <w:r>
              <w:rPr>
                <w:rFonts w:eastAsia="仿宋_GB2312"/>
                <w:sz w:val="28"/>
                <w:szCs w:val="28"/>
              </w:rPr>
              <w:t>1</w:t>
            </w:r>
          </w:p>
        </w:tc>
        <w:tc>
          <w:tcPr>
            <w:tcW w:w="850" w:type="dxa"/>
            <w:vAlign w:val="center"/>
          </w:tcPr>
          <w:p>
            <w:pPr>
              <w:spacing w:line="360" w:lineRule="exact"/>
              <w:jc w:val="center"/>
              <w:rPr>
                <w:rFonts w:eastAsia="仿宋_GB2312"/>
                <w:sz w:val="28"/>
                <w:szCs w:val="28"/>
              </w:rPr>
            </w:pPr>
            <w:r>
              <w:rPr>
                <w:rFonts w:eastAsia="仿宋_GB2312"/>
                <w:sz w:val="28"/>
                <w:szCs w:val="28"/>
              </w:rPr>
              <w:t>2</w:t>
            </w:r>
          </w:p>
        </w:tc>
        <w:tc>
          <w:tcPr>
            <w:tcW w:w="567" w:type="dxa"/>
            <w:vAlign w:val="center"/>
          </w:tcPr>
          <w:p>
            <w:pPr>
              <w:spacing w:line="360" w:lineRule="exact"/>
              <w:jc w:val="center"/>
              <w:rPr>
                <w:rFonts w:eastAsia="仿宋_GB2312"/>
                <w:sz w:val="28"/>
                <w:szCs w:val="28"/>
              </w:rPr>
            </w:pPr>
            <w:r>
              <w:rPr>
                <w:rFonts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trPr>
        <w:tc>
          <w:tcPr>
            <w:tcW w:w="1384" w:type="dxa"/>
            <w:vMerge w:val="restart"/>
            <w:vAlign w:val="center"/>
          </w:tcPr>
          <w:p>
            <w:pPr>
              <w:widowControl/>
              <w:spacing w:line="400" w:lineRule="exact"/>
              <w:jc w:val="center"/>
              <w:rPr>
                <w:rFonts w:eastAsia="方正黑体简体"/>
                <w:sz w:val="28"/>
                <w:szCs w:val="28"/>
              </w:rPr>
            </w:pPr>
            <w:r>
              <w:rPr>
                <w:rFonts w:hint="eastAsia" w:eastAsia="方正黑体简体"/>
                <w:sz w:val="28"/>
                <w:szCs w:val="28"/>
              </w:rPr>
              <w:t>科研</w:t>
            </w:r>
          </w:p>
          <w:p>
            <w:pPr>
              <w:widowControl/>
              <w:spacing w:line="400" w:lineRule="exact"/>
              <w:jc w:val="center"/>
              <w:rPr>
                <w:rFonts w:eastAsia="方正黑体简体"/>
                <w:sz w:val="28"/>
                <w:szCs w:val="28"/>
              </w:rPr>
            </w:pPr>
            <w:r>
              <w:rPr>
                <w:rFonts w:hint="eastAsia" w:eastAsia="方正黑体简体"/>
                <w:sz w:val="28"/>
                <w:szCs w:val="28"/>
              </w:rPr>
              <w:t>平台类</w:t>
            </w:r>
          </w:p>
        </w:tc>
        <w:tc>
          <w:tcPr>
            <w:tcW w:w="4820" w:type="dxa"/>
            <w:gridSpan w:val="3"/>
            <w:vAlign w:val="center"/>
          </w:tcPr>
          <w:p>
            <w:pPr>
              <w:spacing w:line="360" w:lineRule="exact"/>
              <w:jc w:val="center"/>
              <w:rPr>
                <w:rFonts w:ascii="方正楷体简体" w:eastAsia="方正楷体简体"/>
                <w:b/>
                <w:sz w:val="28"/>
                <w:szCs w:val="28"/>
              </w:rPr>
            </w:pPr>
            <w:r>
              <w:rPr>
                <w:rFonts w:hint="eastAsia" w:ascii="方正楷体简体" w:eastAsia="方正楷体简体"/>
                <w:b/>
                <w:spacing w:val="-20"/>
                <w:sz w:val="28"/>
                <w:szCs w:val="28"/>
              </w:rPr>
              <w:t>以下指标三选一</w:t>
            </w:r>
          </w:p>
        </w:tc>
        <w:tc>
          <w:tcPr>
            <w:tcW w:w="3118" w:type="dxa"/>
            <w:gridSpan w:val="4"/>
            <w:vAlign w:val="center"/>
          </w:tcPr>
          <w:p>
            <w:pPr>
              <w:spacing w:line="360" w:lineRule="exact"/>
              <w:jc w:val="center"/>
              <w:rPr>
                <w:rFonts w:ascii="方正楷体简体" w:eastAsia="方正楷体简体"/>
                <w:b/>
                <w:color w:val="000000"/>
                <w:sz w:val="28"/>
                <w:szCs w:val="28"/>
              </w:rPr>
            </w:pPr>
            <w:r>
              <w:rPr>
                <w:rFonts w:hint="eastAsia" w:ascii="方正楷体简体" w:hAnsi="等线" w:eastAsia="方正楷体简体"/>
                <w:b/>
                <w:sz w:val="28"/>
                <w:szCs w:val="28"/>
              </w:rPr>
              <w:t>年度配额指标（人）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exact"/>
        </w:trPr>
        <w:tc>
          <w:tcPr>
            <w:tcW w:w="1384" w:type="dxa"/>
            <w:vMerge w:val="continue"/>
            <w:vAlign w:val="center"/>
          </w:tcPr>
          <w:p>
            <w:pPr>
              <w:widowControl/>
              <w:jc w:val="left"/>
              <w:rPr>
                <w:rFonts w:eastAsia="方正黑体简体"/>
                <w:sz w:val="28"/>
                <w:szCs w:val="28"/>
              </w:rPr>
            </w:pPr>
          </w:p>
        </w:tc>
        <w:tc>
          <w:tcPr>
            <w:tcW w:w="1701"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上一年度研发经费投入（万元）</w:t>
            </w:r>
          </w:p>
        </w:tc>
        <w:tc>
          <w:tcPr>
            <w:tcW w:w="1418" w:type="dxa"/>
            <w:vAlign w:val="center"/>
          </w:tcPr>
          <w:p>
            <w:pPr>
              <w:spacing w:line="300" w:lineRule="exact"/>
              <w:jc w:val="center"/>
              <w:rPr>
                <w:rFonts w:eastAsia="方正楷体简体"/>
                <w:spacing w:val="-26"/>
                <w:sz w:val="28"/>
                <w:szCs w:val="28"/>
              </w:rPr>
            </w:pPr>
            <w:r>
              <w:rPr>
                <w:rFonts w:hint="eastAsia" w:eastAsia="方正楷体简体"/>
                <w:spacing w:val="-20"/>
                <w:sz w:val="28"/>
                <w:szCs w:val="28"/>
              </w:rPr>
              <w:t>上一年度科研成果在泉转化数量（项）</w:t>
            </w:r>
          </w:p>
        </w:tc>
        <w:tc>
          <w:tcPr>
            <w:tcW w:w="1701" w:type="dxa"/>
            <w:vAlign w:val="center"/>
          </w:tcPr>
          <w:p>
            <w:pPr>
              <w:spacing w:line="300" w:lineRule="exact"/>
              <w:jc w:val="center"/>
              <w:rPr>
                <w:rFonts w:eastAsia="方正楷体简体"/>
                <w:spacing w:val="-26"/>
                <w:sz w:val="28"/>
                <w:szCs w:val="28"/>
              </w:rPr>
            </w:pPr>
            <w:r>
              <w:rPr>
                <w:rFonts w:hint="eastAsia" w:eastAsia="方正楷体简体"/>
                <w:spacing w:val="-20"/>
                <w:sz w:val="28"/>
                <w:szCs w:val="28"/>
              </w:rPr>
              <w:t>上一年度新增技术合同登记金额（个）</w:t>
            </w:r>
          </w:p>
        </w:tc>
        <w:tc>
          <w:tcPr>
            <w:tcW w:w="850" w:type="dxa"/>
            <w:vAlign w:val="center"/>
          </w:tcPr>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第三</w:t>
            </w:r>
          </w:p>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层次</w:t>
            </w:r>
          </w:p>
        </w:tc>
        <w:tc>
          <w:tcPr>
            <w:tcW w:w="851" w:type="dxa"/>
            <w:vAlign w:val="center"/>
          </w:tcPr>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第四</w:t>
            </w:r>
          </w:p>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层次</w:t>
            </w:r>
          </w:p>
        </w:tc>
        <w:tc>
          <w:tcPr>
            <w:tcW w:w="850" w:type="dxa"/>
            <w:vAlign w:val="center"/>
          </w:tcPr>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第五</w:t>
            </w:r>
          </w:p>
          <w:p>
            <w:pPr>
              <w:spacing w:line="300" w:lineRule="exact"/>
              <w:jc w:val="center"/>
              <w:rPr>
                <w:rFonts w:eastAsia="方正楷体简体"/>
                <w:color w:val="000000"/>
                <w:spacing w:val="-12"/>
                <w:kern w:val="0"/>
                <w:sz w:val="28"/>
                <w:szCs w:val="28"/>
              </w:rPr>
            </w:pPr>
            <w:r>
              <w:rPr>
                <w:rFonts w:hint="eastAsia" w:eastAsia="方正楷体简体"/>
                <w:color w:val="000000"/>
                <w:spacing w:val="-12"/>
                <w:kern w:val="0"/>
                <w:sz w:val="28"/>
                <w:szCs w:val="28"/>
              </w:rPr>
              <w:t>层次</w:t>
            </w:r>
          </w:p>
        </w:tc>
        <w:tc>
          <w:tcPr>
            <w:tcW w:w="567" w:type="dxa"/>
            <w:vAlign w:val="center"/>
          </w:tcPr>
          <w:p>
            <w:pPr>
              <w:spacing w:line="300" w:lineRule="exact"/>
              <w:jc w:val="center"/>
              <w:rPr>
                <w:rFonts w:eastAsia="方正楷体简体"/>
                <w:color w:val="000000"/>
                <w:sz w:val="28"/>
                <w:szCs w:val="28"/>
              </w:rPr>
            </w:pPr>
            <w:r>
              <w:rPr>
                <w:rFonts w:hint="eastAsia" w:eastAsia="方正楷体简体"/>
                <w:color w:val="000000"/>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trPr>
        <w:tc>
          <w:tcPr>
            <w:tcW w:w="1384" w:type="dxa"/>
            <w:vMerge w:val="continue"/>
            <w:vAlign w:val="center"/>
          </w:tcPr>
          <w:p>
            <w:pPr>
              <w:widowControl/>
              <w:jc w:val="left"/>
              <w:rPr>
                <w:rFonts w:eastAsia="方正黑体简体"/>
                <w:sz w:val="28"/>
                <w:szCs w:val="28"/>
              </w:rPr>
            </w:pPr>
          </w:p>
        </w:tc>
        <w:tc>
          <w:tcPr>
            <w:tcW w:w="1701" w:type="dxa"/>
            <w:vAlign w:val="center"/>
          </w:tcPr>
          <w:p>
            <w:pPr>
              <w:spacing w:line="300" w:lineRule="exact"/>
              <w:jc w:val="center"/>
              <w:rPr>
                <w:rFonts w:eastAsia="仿宋_GB2312"/>
                <w:spacing w:val="-32"/>
                <w:kern w:val="0"/>
                <w:sz w:val="28"/>
                <w:szCs w:val="28"/>
              </w:rPr>
            </w:pPr>
            <w:r>
              <w:rPr>
                <w:rFonts w:eastAsia="仿宋_GB2312"/>
                <w:spacing w:val="-32"/>
                <w:kern w:val="0"/>
                <w:sz w:val="28"/>
                <w:szCs w:val="28"/>
              </w:rPr>
              <w:t>5000</w:t>
            </w:r>
            <w:r>
              <w:rPr>
                <w:rFonts w:hint="eastAsia" w:eastAsia="仿宋_GB2312"/>
                <w:spacing w:val="-32"/>
                <w:kern w:val="0"/>
                <w:sz w:val="28"/>
                <w:szCs w:val="28"/>
              </w:rPr>
              <w:t>万元以上</w:t>
            </w:r>
          </w:p>
        </w:tc>
        <w:tc>
          <w:tcPr>
            <w:tcW w:w="1418" w:type="dxa"/>
            <w:vAlign w:val="center"/>
          </w:tcPr>
          <w:p>
            <w:pPr>
              <w:spacing w:line="300" w:lineRule="exact"/>
              <w:jc w:val="center"/>
              <w:rPr>
                <w:rFonts w:eastAsia="仿宋_GB2312"/>
                <w:spacing w:val="-32"/>
                <w:sz w:val="28"/>
                <w:szCs w:val="28"/>
              </w:rPr>
            </w:pPr>
            <w:r>
              <w:rPr>
                <w:rFonts w:eastAsia="仿宋_GB2312"/>
                <w:spacing w:val="-32"/>
                <w:sz w:val="28"/>
                <w:szCs w:val="28"/>
              </w:rPr>
              <w:t>50</w:t>
            </w:r>
          </w:p>
        </w:tc>
        <w:tc>
          <w:tcPr>
            <w:tcW w:w="1701" w:type="dxa"/>
            <w:vAlign w:val="center"/>
          </w:tcPr>
          <w:p>
            <w:pPr>
              <w:spacing w:line="300" w:lineRule="exact"/>
              <w:jc w:val="center"/>
              <w:rPr>
                <w:rFonts w:eastAsia="仿宋_GB2312"/>
                <w:spacing w:val="-32"/>
                <w:kern w:val="0"/>
                <w:sz w:val="28"/>
                <w:szCs w:val="28"/>
              </w:rPr>
            </w:pPr>
            <w:r>
              <w:rPr>
                <w:rFonts w:eastAsia="仿宋_GB2312"/>
                <w:spacing w:val="-32"/>
                <w:kern w:val="0"/>
                <w:sz w:val="28"/>
                <w:szCs w:val="28"/>
              </w:rPr>
              <w:t>3000</w:t>
            </w:r>
            <w:r>
              <w:rPr>
                <w:rFonts w:hint="eastAsia" w:eastAsia="仿宋_GB2312"/>
                <w:spacing w:val="-32"/>
                <w:kern w:val="0"/>
                <w:sz w:val="28"/>
                <w:szCs w:val="28"/>
              </w:rPr>
              <w:t>万元以上</w:t>
            </w:r>
          </w:p>
        </w:tc>
        <w:tc>
          <w:tcPr>
            <w:tcW w:w="850" w:type="dxa"/>
            <w:vAlign w:val="center"/>
          </w:tcPr>
          <w:p>
            <w:pPr>
              <w:spacing w:line="300" w:lineRule="exact"/>
              <w:jc w:val="center"/>
              <w:rPr>
                <w:rFonts w:eastAsia="仿宋_GB2312"/>
                <w:color w:val="000000"/>
                <w:sz w:val="28"/>
                <w:szCs w:val="28"/>
              </w:rPr>
            </w:pPr>
            <w:r>
              <w:rPr>
                <w:rFonts w:eastAsia="仿宋_GB2312"/>
                <w:color w:val="000000"/>
                <w:sz w:val="28"/>
                <w:szCs w:val="28"/>
              </w:rPr>
              <w:t>1</w:t>
            </w:r>
          </w:p>
        </w:tc>
        <w:tc>
          <w:tcPr>
            <w:tcW w:w="851" w:type="dxa"/>
            <w:vAlign w:val="center"/>
          </w:tcPr>
          <w:p>
            <w:pPr>
              <w:spacing w:line="300" w:lineRule="exact"/>
              <w:jc w:val="center"/>
              <w:rPr>
                <w:rFonts w:eastAsia="仿宋_GB2312"/>
                <w:color w:val="000000"/>
                <w:sz w:val="28"/>
                <w:szCs w:val="28"/>
              </w:rPr>
            </w:pPr>
            <w:r>
              <w:rPr>
                <w:rFonts w:eastAsia="仿宋_GB2312"/>
                <w:color w:val="000000"/>
                <w:sz w:val="28"/>
                <w:szCs w:val="28"/>
              </w:rPr>
              <w:t>2</w:t>
            </w:r>
          </w:p>
        </w:tc>
        <w:tc>
          <w:tcPr>
            <w:tcW w:w="850" w:type="dxa"/>
            <w:vAlign w:val="center"/>
          </w:tcPr>
          <w:p>
            <w:pPr>
              <w:spacing w:line="300" w:lineRule="exact"/>
              <w:jc w:val="center"/>
              <w:rPr>
                <w:rFonts w:eastAsia="仿宋_GB2312"/>
                <w:color w:val="000000"/>
                <w:sz w:val="28"/>
                <w:szCs w:val="28"/>
              </w:rPr>
            </w:pPr>
            <w:r>
              <w:rPr>
                <w:rFonts w:eastAsia="仿宋_GB2312"/>
                <w:color w:val="000000"/>
                <w:sz w:val="28"/>
                <w:szCs w:val="28"/>
              </w:rPr>
              <w:t>3</w:t>
            </w:r>
          </w:p>
        </w:tc>
        <w:tc>
          <w:tcPr>
            <w:tcW w:w="567" w:type="dxa"/>
            <w:vAlign w:val="center"/>
          </w:tcPr>
          <w:p>
            <w:pPr>
              <w:spacing w:line="300" w:lineRule="exact"/>
              <w:jc w:val="center"/>
              <w:rPr>
                <w:rFonts w:eastAsia="仿宋_GB2312"/>
                <w:color w:val="000000"/>
                <w:sz w:val="28"/>
                <w:szCs w:val="28"/>
              </w:rPr>
            </w:pPr>
            <w:r>
              <w:rPr>
                <w:rFonts w:eastAsia="仿宋_GB2312"/>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384" w:type="dxa"/>
            <w:vMerge w:val="continue"/>
            <w:vAlign w:val="center"/>
          </w:tcPr>
          <w:p>
            <w:pPr>
              <w:widowControl/>
              <w:jc w:val="left"/>
              <w:rPr>
                <w:rFonts w:eastAsia="方正黑体简体"/>
                <w:sz w:val="28"/>
                <w:szCs w:val="28"/>
              </w:rPr>
            </w:pPr>
          </w:p>
        </w:tc>
        <w:tc>
          <w:tcPr>
            <w:tcW w:w="1701" w:type="dxa"/>
            <w:vAlign w:val="center"/>
          </w:tcPr>
          <w:p>
            <w:pPr>
              <w:spacing w:line="300" w:lineRule="exact"/>
              <w:jc w:val="center"/>
              <w:rPr>
                <w:rFonts w:eastAsia="仿宋_GB2312"/>
                <w:spacing w:val="-32"/>
                <w:kern w:val="0"/>
                <w:sz w:val="28"/>
                <w:szCs w:val="28"/>
              </w:rPr>
            </w:pPr>
            <w:r>
              <w:rPr>
                <w:rFonts w:eastAsia="仿宋_GB2312"/>
                <w:spacing w:val="-32"/>
                <w:kern w:val="0"/>
                <w:sz w:val="28"/>
                <w:szCs w:val="28"/>
              </w:rPr>
              <w:t>2000</w:t>
            </w:r>
            <w:r>
              <w:rPr>
                <w:rFonts w:hint="eastAsia" w:eastAsia="仿宋_GB2312"/>
                <w:spacing w:val="-32"/>
                <w:kern w:val="0"/>
                <w:sz w:val="28"/>
                <w:szCs w:val="28"/>
              </w:rPr>
              <w:t>万元以上至</w:t>
            </w:r>
            <w:r>
              <w:rPr>
                <w:rFonts w:eastAsia="仿宋_GB2312"/>
                <w:spacing w:val="-32"/>
                <w:kern w:val="0"/>
                <w:sz w:val="28"/>
                <w:szCs w:val="28"/>
              </w:rPr>
              <w:t>5000</w:t>
            </w:r>
            <w:r>
              <w:rPr>
                <w:rFonts w:hint="eastAsia" w:eastAsia="仿宋_GB2312"/>
                <w:spacing w:val="-32"/>
                <w:kern w:val="0"/>
                <w:sz w:val="28"/>
                <w:szCs w:val="28"/>
              </w:rPr>
              <w:t>万元</w:t>
            </w:r>
          </w:p>
        </w:tc>
        <w:tc>
          <w:tcPr>
            <w:tcW w:w="1418" w:type="dxa"/>
            <w:vAlign w:val="center"/>
          </w:tcPr>
          <w:p>
            <w:pPr>
              <w:spacing w:line="300" w:lineRule="exact"/>
              <w:jc w:val="center"/>
              <w:rPr>
                <w:rFonts w:eastAsia="仿宋_GB2312"/>
                <w:spacing w:val="-32"/>
                <w:sz w:val="28"/>
                <w:szCs w:val="28"/>
              </w:rPr>
            </w:pPr>
            <w:r>
              <w:rPr>
                <w:rFonts w:eastAsia="仿宋_GB2312"/>
                <w:spacing w:val="-32"/>
                <w:sz w:val="28"/>
                <w:szCs w:val="28"/>
              </w:rPr>
              <w:t>20</w:t>
            </w:r>
          </w:p>
        </w:tc>
        <w:tc>
          <w:tcPr>
            <w:tcW w:w="1701" w:type="dxa"/>
            <w:vAlign w:val="center"/>
          </w:tcPr>
          <w:p>
            <w:pPr>
              <w:spacing w:line="300" w:lineRule="exact"/>
              <w:jc w:val="center"/>
              <w:rPr>
                <w:rFonts w:eastAsia="仿宋_GB2312"/>
                <w:spacing w:val="-32"/>
                <w:kern w:val="0"/>
                <w:sz w:val="28"/>
                <w:szCs w:val="28"/>
              </w:rPr>
            </w:pPr>
            <w:r>
              <w:rPr>
                <w:rFonts w:hint="eastAsia" w:eastAsia="仿宋_GB2312"/>
                <w:spacing w:val="-32"/>
                <w:kern w:val="0"/>
                <w:sz w:val="28"/>
                <w:szCs w:val="28"/>
              </w:rPr>
              <w:t>15</w:t>
            </w:r>
            <w:r>
              <w:rPr>
                <w:rFonts w:eastAsia="仿宋_GB2312"/>
                <w:spacing w:val="-32"/>
                <w:kern w:val="0"/>
                <w:sz w:val="28"/>
                <w:szCs w:val="28"/>
              </w:rPr>
              <w:t>00</w:t>
            </w:r>
            <w:r>
              <w:rPr>
                <w:rFonts w:hint="eastAsia" w:eastAsia="仿宋_GB2312"/>
                <w:spacing w:val="-32"/>
                <w:kern w:val="0"/>
                <w:sz w:val="28"/>
                <w:szCs w:val="28"/>
              </w:rPr>
              <w:t>万元以上至</w:t>
            </w:r>
            <w:r>
              <w:rPr>
                <w:rFonts w:eastAsia="仿宋_GB2312"/>
                <w:spacing w:val="-32"/>
                <w:kern w:val="0"/>
                <w:sz w:val="28"/>
                <w:szCs w:val="28"/>
              </w:rPr>
              <w:t>3000</w:t>
            </w:r>
            <w:r>
              <w:rPr>
                <w:rFonts w:hint="eastAsia" w:eastAsia="仿宋_GB2312"/>
                <w:spacing w:val="-32"/>
                <w:kern w:val="0"/>
                <w:sz w:val="28"/>
                <w:szCs w:val="28"/>
              </w:rPr>
              <w:t>万元</w:t>
            </w:r>
          </w:p>
        </w:tc>
        <w:tc>
          <w:tcPr>
            <w:tcW w:w="850" w:type="dxa"/>
            <w:vAlign w:val="center"/>
          </w:tcPr>
          <w:p>
            <w:pPr>
              <w:spacing w:line="300" w:lineRule="exact"/>
              <w:jc w:val="center"/>
              <w:rPr>
                <w:rFonts w:eastAsia="仿宋_GB2312"/>
                <w:color w:val="000000"/>
                <w:sz w:val="28"/>
                <w:szCs w:val="28"/>
              </w:rPr>
            </w:pPr>
            <w:r>
              <w:rPr>
                <w:rFonts w:eastAsia="仿宋_GB2312"/>
                <w:color w:val="000000"/>
                <w:sz w:val="28"/>
                <w:szCs w:val="28"/>
              </w:rPr>
              <w:t>1</w:t>
            </w:r>
          </w:p>
        </w:tc>
        <w:tc>
          <w:tcPr>
            <w:tcW w:w="851" w:type="dxa"/>
            <w:vAlign w:val="center"/>
          </w:tcPr>
          <w:p>
            <w:pPr>
              <w:spacing w:line="300" w:lineRule="exact"/>
              <w:jc w:val="center"/>
              <w:rPr>
                <w:rFonts w:eastAsia="仿宋_GB2312"/>
                <w:color w:val="000000"/>
                <w:sz w:val="28"/>
                <w:szCs w:val="28"/>
              </w:rPr>
            </w:pPr>
            <w:r>
              <w:rPr>
                <w:rFonts w:eastAsia="仿宋_GB2312"/>
                <w:color w:val="000000"/>
                <w:sz w:val="28"/>
                <w:szCs w:val="28"/>
              </w:rPr>
              <w:t>1</w:t>
            </w:r>
          </w:p>
        </w:tc>
        <w:tc>
          <w:tcPr>
            <w:tcW w:w="850" w:type="dxa"/>
            <w:vAlign w:val="center"/>
          </w:tcPr>
          <w:p>
            <w:pPr>
              <w:spacing w:line="300" w:lineRule="exact"/>
              <w:jc w:val="center"/>
              <w:rPr>
                <w:rFonts w:eastAsia="仿宋_GB2312"/>
                <w:color w:val="000000"/>
                <w:sz w:val="28"/>
                <w:szCs w:val="28"/>
              </w:rPr>
            </w:pPr>
            <w:r>
              <w:rPr>
                <w:rFonts w:eastAsia="仿宋_GB2312"/>
                <w:color w:val="000000"/>
                <w:sz w:val="28"/>
                <w:szCs w:val="28"/>
              </w:rPr>
              <w:t>2</w:t>
            </w:r>
          </w:p>
        </w:tc>
        <w:tc>
          <w:tcPr>
            <w:tcW w:w="567" w:type="dxa"/>
            <w:vAlign w:val="center"/>
          </w:tcPr>
          <w:p>
            <w:pPr>
              <w:spacing w:line="300" w:lineRule="exact"/>
              <w:jc w:val="center"/>
              <w:rPr>
                <w:rFonts w:eastAsia="仿宋_GB2312"/>
                <w:color w:val="000000"/>
                <w:sz w:val="28"/>
                <w:szCs w:val="28"/>
              </w:rPr>
            </w:pPr>
            <w:r>
              <w:rPr>
                <w:rFonts w:eastAsia="仿宋_GB2312"/>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trPr>
        <w:tc>
          <w:tcPr>
            <w:tcW w:w="1384" w:type="dxa"/>
            <w:vMerge w:val="continue"/>
            <w:vAlign w:val="center"/>
          </w:tcPr>
          <w:p>
            <w:pPr>
              <w:widowControl/>
              <w:jc w:val="left"/>
              <w:rPr>
                <w:rFonts w:eastAsia="方正黑体简体"/>
                <w:sz w:val="28"/>
                <w:szCs w:val="28"/>
              </w:rPr>
            </w:pPr>
          </w:p>
        </w:tc>
        <w:tc>
          <w:tcPr>
            <w:tcW w:w="1701" w:type="dxa"/>
            <w:vAlign w:val="center"/>
          </w:tcPr>
          <w:p>
            <w:pPr>
              <w:spacing w:line="300" w:lineRule="exact"/>
              <w:jc w:val="center"/>
              <w:rPr>
                <w:rFonts w:eastAsia="仿宋_GB2312"/>
                <w:spacing w:val="-32"/>
                <w:kern w:val="0"/>
                <w:sz w:val="28"/>
                <w:szCs w:val="28"/>
              </w:rPr>
            </w:pPr>
            <w:r>
              <w:rPr>
                <w:rFonts w:eastAsia="仿宋_GB2312"/>
                <w:spacing w:val="-32"/>
                <w:kern w:val="0"/>
                <w:sz w:val="28"/>
                <w:szCs w:val="28"/>
              </w:rPr>
              <w:t>1000</w:t>
            </w:r>
            <w:r>
              <w:rPr>
                <w:rFonts w:hint="eastAsia" w:eastAsia="仿宋_GB2312"/>
                <w:spacing w:val="-32"/>
                <w:kern w:val="0"/>
                <w:sz w:val="28"/>
                <w:szCs w:val="28"/>
              </w:rPr>
              <w:t>万元以上至</w:t>
            </w:r>
            <w:r>
              <w:rPr>
                <w:rFonts w:eastAsia="仿宋_GB2312"/>
                <w:spacing w:val="-32"/>
                <w:kern w:val="0"/>
                <w:sz w:val="28"/>
                <w:szCs w:val="28"/>
              </w:rPr>
              <w:t>2000</w:t>
            </w:r>
            <w:r>
              <w:rPr>
                <w:rFonts w:hint="eastAsia" w:eastAsia="仿宋_GB2312"/>
                <w:spacing w:val="-32"/>
                <w:kern w:val="0"/>
                <w:sz w:val="28"/>
                <w:szCs w:val="28"/>
              </w:rPr>
              <w:t>万元</w:t>
            </w:r>
          </w:p>
        </w:tc>
        <w:tc>
          <w:tcPr>
            <w:tcW w:w="1418" w:type="dxa"/>
            <w:vAlign w:val="center"/>
          </w:tcPr>
          <w:p>
            <w:pPr>
              <w:spacing w:line="300" w:lineRule="exact"/>
              <w:jc w:val="center"/>
              <w:rPr>
                <w:rFonts w:eastAsia="仿宋_GB2312"/>
                <w:spacing w:val="-32"/>
                <w:sz w:val="28"/>
                <w:szCs w:val="28"/>
              </w:rPr>
            </w:pPr>
            <w:r>
              <w:rPr>
                <w:rFonts w:eastAsia="仿宋_GB2312"/>
                <w:spacing w:val="-32"/>
                <w:sz w:val="28"/>
                <w:szCs w:val="28"/>
              </w:rPr>
              <w:t>10</w:t>
            </w:r>
          </w:p>
        </w:tc>
        <w:tc>
          <w:tcPr>
            <w:tcW w:w="1701" w:type="dxa"/>
            <w:vAlign w:val="center"/>
          </w:tcPr>
          <w:p>
            <w:pPr>
              <w:spacing w:line="300" w:lineRule="exact"/>
              <w:jc w:val="center"/>
              <w:rPr>
                <w:rFonts w:eastAsia="仿宋_GB2312"/>
                <w:spacing w:val="-32"/>
                <w:kern w:val="0"/>
                <w:sz w:val="28"/>
                <w:szCs w:val="28"/>
              </w:rPr>
            </w:pPr>
            <w:r>
              <w:rPr>
                <w:rFonts w:hint="eastAsia" w:eastAsia="仿宋_GB2312"/>
                <w:spacing w:val="-32"/>
                <w:kern w:val="0"/>
                <w:sz w:val="28"/>
                <w:szCs w:val="28"/>
              </w:rPr>
              <w:t>5</w:t>
            </w:r>
            <w:r>
              <w:rPr>
                <w:rFonts w:eastAsia="仿宋_GB2312"/>
                <w:spacing w:val="-32"/>
                <w:kern w:val="0"/>
                <w:sz w:val="28"/>
                <w:szCs w:val="28"/>
              </w:rPr>
              <w:t>00</w:t>
            </w:r>
            <w:r>
              <w:rPr>
                <w:rFonts w:hint="eastAsia" w:eastAsia="仿宋_GB2312"/>
                <w:spacing w:val="-32"/>
                <w:kern w:val="0"/>
                <w:sz w:val="28"/>
                <w:szCs w:val="28"/>
              </w:rPr>
              <w:t>万元以上至15</w:t>
            </w:r>
            <w:r>
              <w:rPr>
                <w:rFonts w:eastAsia="仿宋_GB2312"/>
                <w:spacing w:val="-32"/>
                <w:kern w:val="0"/>
                <w:sz w:val="28"/>
                <w:szCs w:val="28"/>
              </w:rPr>
              <w:t>00</w:t>
            </w:r>
            <w:r>
              <w:rPr>
                <w:rFonts w:hint="eastAsia" w:eastAsia="仿宋_GB2312"/>
                <w:spacing w:val="-32"/>
                <w:kern w:val="0"/>
                <w:sz w:val="28"/>
                <w:szCs w:val="28"/>
              </w:rPr>
              <w:t>万元</w:t>
            </w:r>
          </w:p>
        </w:tc>
        <w:tc>
          <w:tcPr>
            <w:tcW w:w="850" w:type="dxa"/>
            <w:vAlign w:val="center"/>
          </w:tcPr>
          <w:p>
            <w:pPr>
              <w:spacing w:line="300" w:lineRule="exact"/>
              <w:jc w:val="center"/>
              <w:rPr>
                <w:rFonts w:eastAsia="仿宋_GB2312"/>
                <w:color w:val="000000"/>
                <w:sz w:val="28"/>
                <w:szCs w:val="28"/>
              </w:rPr>
            </w:pPr>
          </w:p>
        </w:tc>
        <w:tc>
          <w:tcPr>
            <w:tcW w:w="851" w:type="dxa"/>
            <w:vAlign w:val="center"/>
          </w:tcPr>
          <w:p>
            <w:pPr>
              <w:spacing w:line="300" w:lineRule="exact"/>
              <w:jc w:val="center"/>
              <w:rPr>
                <w:rFonts w:eastAsia="仿宋_GB2312"/>
                <w:color w:val="000000"/>
                <w:sz w:val="28"/>
                <w:szCs w:val="28"/>
              </w:rPr>
            </w:pPr>
            <w:r>
              <w:rPr>
                <w:rFonts w:eastAsia="仿宋_GB2312"/>
                <w:color w:val="000000"/>
                <w:sz w:val="28"/>
                <w:szCs w:val="28"/>
              </w:rPr>
              <w:t>1</w:t>
            </w:r>
          </w:p>
        </w:tc>
        <w:tc>
          <w:tcPr>
            <w:tcW w:w="850" w:type="dxa"/>
            <w:vAlign w:val="center"/>
          </w:tcPr>
          <w:p>
            <w:pPr>
              <w:spacing w:line="300" w:lineRule="exact"/>
              <w:jc w:val="center"/>
              <w:rPr>
                <w:rFonts w:eastAsia="仿宋_GB2312"/>
                <w:color w:val="000000"/>
                <w:sz w:val="28"/>
                <w:szCs w:val="28"/>
              </w:rPr>
            </w:pPr>
            <w:r>
              <w:rPr>
                <w:rFonts w:eastAsia="仿宋_GB2312"/>
                <w:color w:val="000000"/>
                <w:sz w:val="28"/>
                <w:szCs w:val="28"/>
              </w:rPr>
              <w:t>2</w:t>
            </w:r>
          </w:p>
        </w:tc>
        <w:tc>
          <w:tcPr>
            <w:tcW w:w="567" w:type="dxa"/>
            <w:vAlign w:val="center"/>
          </w:tcPr>
          <w:p>
            <w:pPr>
              <w:spacing w:line="300" w:lineRule="exact"/>
              <w:jc w:val="center"/>
              <w:rPr>
                <w:rFonts w:eastAsia="仿宋_GB2312"/>
                <w:color w:val="000000"/>
                <w:sz w:val="28"/>
                <w:szCs w:val="28"/>
              </w:rPr>
            </w:pPr>
            <w:r>
              <w:rPr>
                <w:rFonts w:eastAsia="仿宋_GB2312"/>
                <w:color w:val="00000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84" w:type="dxa"/>
            <w:vMerge w:val="restart"/>
            <w:vAlign w:val="center"/>
          </w:tcPr>
          <w:p>
            <w:pPr>
              <w:spacing w:line="360" w:lineRule="exact"/>
              <w:jc w:val="center"/>
              <w:rPr>
                <w:rFonts w:eastAsia="方正黑体简体"/>
                <w:sz w:val="28"/>
                <w:szCs w:val="28"/>
              </w:rPr>
            </w:pPr>
            <w:r>
              <w:rPr>
                <w:rFonts w:hint="eastAsia" w:eastAsia="方正黑体简体"/>
                <w:sz w:val="28"/>
                <w:szCs w:val="28"/>
              </w:rPr>
              <w:t>高校类</w:t>
            </w:r>
          </w:p>
        </w:tc>
        <w:tc>
          <w:tcPr>
            <w:tcW w:w="4820" w:type="dxa"/>
            <w:gridSpan w:val="3"/>
            <w:vAlign w:val="center"/>
          </w:tcPr>
          <w:p>
            <w:pPr>
              <w:spacing w:line="300" w:lineRule="exact"/>
              <w:jc w:val="center"/>
              <w:rPr>
                <w:rFonts w:eastAsia="方正楷体简体"/>
                <w:spacing w:val="-8"/>
                <w:sz w:val="28"/>
                <w:szCs w:val="28"/>
              </w:rPr>
            </w:pPr>
            <w:r>
              <w:rPr>
                <w:rFonts w:hint="eastAsia" w:ascii="方正楷体简体" w:hAnsi="等线" w:eastAsia="方正楷体简体"/>
                <w:b/>
                <w:sz w:val="28"/>
                <w:szCs w:val="28"/>
              </w:rPr>
              <w:t>配额依据</w:t>
            </w:r>
          </w:p>
        </w:tc>
        <w:tc>
          <w:tcPr>
            <w:tcW w:w="3118" w:type="dxa"/>
            <w:gridSpan w:val="4"/>
            <w:vAlign w:val="center"/>
          </w:tcPr>
          <w:p>
            <w:pPr>
              <w:spacing w:line="300" w:lineRule="exact"/>
              <w:jc w:val="center"/>
              <w:rPr>
                <w:rFonts w:eastAsia="方正楷体简体"/>
                <w:spacing w:val="-8"/>
                <w:sz w:val="28"/>
                <w:szCs w:val="28"/>
              </w:rPr>
            </w:pPr>
            <w:r>
              <w:rPr>
                <w:rFonts w:hint="eastAsia" w:ascii="方正楷体简体" w:hAnsi="等线" w:eastAsia="方正楷体简体"/>
                <w:b/>
                <w:sz w:val="28"/>
                <w:szCs w:val="28"/>
              </w:rPr>
              <w:t>年度配额指标（人）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exac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jc w:val="center"/>
              <w:rPr>
                <w:rFonts w:eastAsia="方正楷体简体"/>
                <w:b/>
                <w:spacing w:val="-12"/>
                <w:kern w:val="0"/>
                <w:sz w:val="28"/>
                <w:szCs w:val="28"/>
              </w:rPr>
            </w:pPr>
            <w:r>
              <w:rPr>
                <w:rFonts w:hint="eastAsia" w:eastAsia="方正楷体简体"/>
                <w:spacing w:val="-8"/>
                <w:sz w:val="28"/>
                <w:szCs w:val="28"/>
              </w:rPr>
              <w:t>办学层次</w:t>
            </w:r>
          </w:p>
        </w:tc>
        <w:tc>
          <w:tcPr>
            <w:tcW w:w="850"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第三</w:t>
            </w:r>
          </w:p>
          <w:p>
            <w:pPr>
              <w:spacing w:line="300" w:lineRule="exact"/>
              <w:jc w:val="center"/>
              <w:rPr>
                <w:rFonts w:eastAsia="方正楷体简体"/>
                <w:spacing w:val="-8"/>
                <w:sz w:val="28"/>
                <w:szCs w:val="28"/>
              </w:rPr>
            </w:pPr>
            <w:r>
              <w:rPr>
                <w:rFonts w:hint="eastAsia" w:eastAsia="方正楷体简体"/>
                <w:spacing w:val="-8"/>
                <w:sz w:val="28"/>
                <w:szCs w:val="28"/>
              </w:rPr>
              <w:t>层次</w:t>
            </w:r>
          </w:p>
        </w:tc>
        <w:tc>
          <w:tcPr>
            <w:tcW w:w="851"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第四</w:t>
            </w:r>
          </w:p>
          <w:p>
            <w:pPr>
              <w:spacing w:line="300" w:lineRule="exact"/>
              <w:jc w:val="center"/>
              <w:rPr>
                <w:rFonts w:eastAsia="方正楷体简体"/>
                <w:spacing w:val="-8"/>
                <w:sz w:val="28"/>
                <w:szCs w:val="28"/>
              </w:rPr>
            </w:pPr>
            <w:r>
              <w:rPr>
                <w:rFonts w:hint="eastAsia" w:eastAsia="方正楷体简体"/>
                <w:spacing w:val="-8"/>
                <w:sz w:val="28"/>
                <w:szCs w:val="28"/>
              </w:rPr>
              <w:t>层次</w:t>
            </w:r>
          </w:p>
        </w:tc>
        <w:tc>
          <w:tcPr>
            <w:tcW w:w="850"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第五</w:t>
            </w:r>
          </w:p>
          <w:p>
            <w:pPr>
              <w:spacing w:line="300" w:lineRule="exact"/>
              <w:jc w:val="center"/>
              <w:rPr>
                <w:rFonts w:eastAsia="方正楷体简体"/>
                <w:spacing w:val="-8"/>
                <w:sz w:val="28"/>
                <w:szCs w:val="28"/>
              </w:rPr>
            </w:pPr>
            <w:r>
              <w:rPr>
                <w:rFonts w:hint="eastAsia" w:eastAsia="方正楷体简体"/>
                <w:spacing w:val="-8"/>
                <w:sz w:val="28"/>
                <w:szCs w:val="28"/>
              </w:rPr>
              <w:t>层次</w:t>
            </w:r>
          </w:p>
        </w:tc>
        <w:tc>
          <w:tcPr>
            <w:tcW w:w="567"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spacing w:line="360" w:lineRule="exact"/>
              <w:rPr>
                <w:rFonts w:eastAsia="方正仿宋简体"/>
                <w:spacing w:val="-8"/>
                <w:sz w:val="28"/>
                <w:szCs w:val="28"/>
              </w:rPr>
            </w:pPr>
            <w:r>
              <w:rPr>
                <w:rFonts w:hint="eastAsia" w:eastAsia="方正仿宋简体"/>
                <w:spacing w:val="-8"/>
                <w:sz w:val="28"/>
                <w:szCs w:val="28"/>
              </w:rPr>
              <w:t>省部属公办本科高校</w:t>
            </w:r>
          </w:p>
        </w:tc>
        <w:tc>
          <w:tcPr>
            <w:tcW w:w="850" w:type="dxa"/>
            <w:vAlign w:val="center"/>
          </w:tcPr>
          <w:p>
            <w:pPr>
              <w:spacing w:line="360" w:lineRule="exact"/>
              <w:jc w:val="center"/>
              <w:rPr>
                <w:rFonts w:eastAsia="仿宋_GB2312"/>
                <w:color w:val="000000"/>
                <w:sz w:val="28"/>
                <w:szCs w:val="28"/>
              </w:rPr>
            </w:pPr>
            <w:r>
              <w:rPr>
                <w:rFonts w:eastAsia="仿宋_GB2312"/>
                <w:color w:val="000000"/>
                <w:sz w:val="28"/>
                <w:szCs w:val="28"/>
              </w:rPr>
              <w:t>1</w:t>
            </w:r>
          </w:p>
        </w:tc>
        <w:tc>
          <w:tcPr>
            <w:tcW w:w="851" w:type="dxa"/>
            <w:vAlign w:val="center"/>
          </w:tcPr>
          <w:p>
            <w:pPr>
              <w:spacing w:line="360" w:lineRule="exact"/>
              <w:jc w:val="center"/>
              <w:rPr>
                <w:rFonts w:eastAsia="仿宋_GB2312"/>
                <w:color w:val="000000"/>
                <w:sz w:val="28"/>
                <w:szCs w:val="28"/>
              </w:rPr>
            </w:pPr>
            <w:r>
              <w:rPr>
                <w:rFonts w:eastAsia="仿宋_GB2312"/>
                <w:color w:val="000000"/>
                <w:sz w:val="28"/>
                <w:szCs w:val="28"/>
              </w:rPr>
              <w:t>3</w:t>
            </w:r>
          </w:p>
        </w:tc>
        <w:tc>
          <w:tcPr>
            <w:tcW w:w="850" w:type="dxa"/>
            <w:vAlign w:val="center"/>
          </w:tcPr>
          <w:p>
            <w:pPr>
              <w:spacing w:line="360" w:lineRule="exact"/>
              <w:jc w:val="center"/>
              <w:rPr>
                <w:rFonts w:eastAsia="仿宋_GB2312"/>
                <w:color w:val="000000"/>
                <w:sz w:val="28"/>
                <w:szCs w:val="28"/>
              </w:rPr>
            </w:pPr>
            <w:r>
              <w:rPr>
                <w:rFonts w:eastAsia="仿宋_GB2312"/>
                <w:color w:val="000000"/>
                <w:sz w:val="28"/>
                <w:szCs w:val="28"/>
              </w:rPr>
              <w:t>4</w:t>
            </w:r>
          </w:p>
        </w:tc>
        <w:tc>
          <w:tcPr>
            <w:tcW w:w="567" w:type="dxa"/>
            <w:vAlign w:val="center"/>
          </w:tcPr>
          <w:p>
            <w:pPr>
              <w:spacing w:line="360" w:lineRule="exact"/>
              <w:jc w:val="center"/>
              <w:rPr>
                <w:rFonts w:eastAsia="仿宋_GB2312"/>
                <w:color w:val="000000"/>
                <w:sz w:val="28"/>
                <w:szCs w:val="28"/>
              </w:rPr>
            </w:pPr>
            <w:r>
              <w:rPr>
                <w:rFonts w:eastAsia="仿宋_GB2312"/>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spacing w:line="360" w:lineRule="exact"/>
              <w:rPr>
                <w:rFonts w:eastAsia="方正仿宋简体"/>
                <w:spacing w:val="-22"/>
                <w:sz w:val="28"/>
                <w:szCs w:val="28"/>
              </w:rPr>
            </w:pPr>
            <w:r>
              <w:rPr>
                <w:rFonts w:hint="eastAsia" w:eastAsia="方正仿宋简体"/>
                <w:spacing w:val="-22"/>
                <w:sz w:val="28"/>
                <w:szCs w:val="28"/>
              </w:rPr>
              <w:t>省部属高校在泉二级学院、分校，民办本科</w:t>
            </w:r>
            <w:r>
              <w:rPr>
                <w:rFonts w:eastAsia="方正仿宋简体"/>
                <w:spacing w:val="-22"/>
                <w:sz w:val="28"/>
                <w:szCs w:val="28"/>
              </w:rPr>
              <w:t>(</w:t>
            </w:r>
            <w:r>
              <w:rPr>
                <w:rFonts w:hint="eastAsia" w:eastAsia="方正仿宋简体"/>
                <w:spacing w:val="-22"/>
                <w:sz w:val="28"/>
                <w:szCs w:val="28"/>
              </w:rPr>
              <w:t>职业本科</w:t>
            </w:r>
            <w:r>
              <w:rPr>
                <w:rFonts w:eastAsia="方正仿宋简体"/>
                <w:spacing w:val="-22"/>
                <w:sz w:val="28"/>
                <w:szCs w:val="28"/>
              </w:rPr>
              <w:t>)</w:t>
            </w:r>
            <w:r>
              <w:rPr>
                <w:rFonts w:hint="eastAsia" w:eastAsia="方正仿宋简体"/>
                <w:spacing w:val="-22"/>
                <w:sz w:val="28"/>
                <w:szCs w:val="28"/>
              </w:rPr>
              <w:t>高校，公办高职高专院校</w:t>
            </w:r>
          </w:p>
        </w:tc>
        <w:tc>
          <w:tcPr>
            <w:tcW w:w="850" w:type="dxa"/>
            <w:vAlign w:val="center"/>
          </w:tcPr>
          <w:p>
            <w:pPr>
              <w:spacing w:line="360" w:lineRule="exact"/>
              <w:jc w:val="center"/>
              <w:rPr>
                <w:rFonts w:eastAsia="仿宋_GB2312"/>
                <w:color w:val="000000"/>
                <w:sz w:val="28"/>
                <w:szCs w:val="28"/>
              </w:rPr>
            </w:pPr>
            <w:r>
              <w:rPr>
                <w:rFonts w:eastAsia="仿宋_GB2312"/>
                <w:color w:val="000000"/>
                <w:sz w:val="28"/>
                <w:szCs w:val="28"/>
              </w:rPr>
              <w:t>1</w:t>
            </w:r>
          </w:p>
        </w:tc>
        <w:tc>
          <w:tcPr>
            <w:tcW w:w="851" w:type="dxa"/>
            <w:vAlign w:val="center"/>
          </w:tcPr>
          <w:p>
            <w:pPr>
              <w:spacing w:line="360" w:lineRule="exact"/>
              <w:jc w:val="center"/>
              <w:rPr>
                <w:rFonts w:eastAsia="仿宋_GB2312"/>
                <w:color w:val="000000"/>
                <w:sz w:val="28"/>
                <w:szCs w:val="28"/>
              </w:rPr>
            </w:pPr>
            <w:r>
              <w:rPr>
                <w:rFonts w:eastAsia="仿宋_GB2312"/>
                <w:color w:val="000000"/>
                <w:sz w:val="28"/>
                <w:szCs w:val="28"/>
              </w:rPr>
              <w:t>2</w:t>
            </w:r>
          </w:p>
        </w:tc>
        <w:tc>
          <w:tcPr>
            <w:tcW w:w="850" w:type="dxa"/>
            <w:vAlign w:val="center"/>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vAlign w:val="center"/>
          </w:tcPr>
          <w:p>
            <w:pPr>
              <w:spacing w:line="360" w:lineRule="exact"/>
              <w:jc w:val="center"/>
              <w:rPr>
                <w:rFonts w:eastAsia="仿宋_GB2312"/>
                <w:color w:val="000000"/>
                <w:sz w:val="28"/>
                <w:szCs w:val="28"/>
              </w:rPr>
            </w:pPr>
            <w:r>
              <w:rPr>
                <w:rFonts w:eastAsia="仿宋_GB2312"/>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exac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spacing w:line="360" w:lineRule="exact"/>
              <w:rPr>
                <w:rFonts w:eastAsia="方正仿宋简体"/>
                <w:spacing w:val="-16"/>
                <w:sz w:val="28"/>
                <w:szCs w:val="28"/>
              </w:rPr>
            </w:pPr>
            <w:r>
              <w:rPr>
                <w:rFonts w:hint="eastAsia" w:eastAsia="方正仿宋简体"/>
                <w:spacing w:val="-16"/>
                <w:sz w:val="28"/>
                <w:szCs w:val="28"/>
              </w:rPr>
              <w:t>国企办、民办高职高专院校，成人高校</w:t>
            </w:r>
          </w:p>
        </w:tc>
        <w:tc>
          <w:tcPr>
            <w:tcW w:w="850" w:type="dxa"/>
            <w:vAlign w:val="center"/>
          </w:tcPr>
          <w:p>
            <w:pPr>
              <w:spacing w:line="360" w:lineRule="exact"/>
              <w:jc w:val="center"/>
              <w:rPr>
                <w:rFonts w:eastAsia="仿宋_GB2312"/>
                <w:color w:val="000000"/>
                <w:sz w:val="28"/>
                <w:szCs w:val="28"/>
              </w:rPr>
            </w:pPr>
          </w:p>
          <w:p>
            <w:pPr>
              <w:spacing w:line="360" w:lineRule="exact"/>
              <w:jc w:val="center"/>
              <w:rPr>
                <w:rFonts w:eastAsia="仿宋_GB2312"/>
                <w:color w:val="000000"/>
                <w:sz w:val="28"/>
                <w:szCs w:val="28"/>
              </w:rPr>
            </w:pPr>
          </w:p>
          <w:p>
            <w:pPr>
              <w:spacing w:line="360" w:lineRule="exact"/>
              <w:jc w:val="center"/>
              <w:rPr>
                <w:rFonts w:eastAsia="仿宋_GB2312"/>
                <w:color w:val="000000"/>
                <w:sz w:val="28"/>
                <w:szCs w:val="28"/>
              </w:rPr>
            </w:pPr>
          </w:p>
        </w:tc>
        <w:tc>
          <w:tcPr>
            <w:tcW w:w="851" w:type="dxa"/>
            <w:vAlign w:val="center"/>
          </w:tcPr>
          <w:p>
            <w:pPr>
              <w:spacing w:line="360" w:lineRule="exact"/>
              <w:jc w:val="center"/>
              <w:rPr>
                <w:rFonts w:eastAsia="仿宋_GB2312"/>
                <w:color w:val="000000"/>
                <w:sz w:val="28"/>
                <w:szCs w:val="28"/>
              </w:rPr>
            </w:pPr>
            <w:r>
              <w:rPr>
                <w:rFonts w:eastAsia="仿宋_GB2312"/>
                <w:color w:val="000000"/>
                <w:sz w:val="28"/>
                <w:szCs w:val="28"/>
              </w:rPr>
              <w:t>2</w:t>
            </w:r>
          </w:p>
        </w:tc>
        <w:tc>
          <w:tcPr>
            <w:tcW w:w="850" w:type="dxa"/>
            <w:vAlign w:val="center"/>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vAlign w:val="center"/>
          </w:tcPr>
          <w:p>
            <w:pPr>
              <w:spacing w:line="360" w:lineRule="exact"/>
              <w:jc w:val="center"/>
              <w:rPr>
                <w:rFonts w:eastAsia="仿宋_GB2312"/>
                <w:color w:val="000000"/>
                <w:sz w:val="28"/>
                <w:szCs w:val="28"/>
              </w:rPr>
            </w:pPr>
            <w:r>
              <w:rPr>
                <w:rFonts w:eastAsia="仿宋_GB2312"/>
                <w:color w:val="00000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restart"/>
            <w:vAlign w:val="center"/>
          </w:tcPr>
          <w:p>
            <w:pPr>
              <w:spacing w:line="360" w:lineRule="exact"/>
              <w:jc w:val="center"/>
              <w:rPr>
                <w:rFonts w:eastAsia="方正黑体简体"/>
                <w:sz w:val="28"/>
                <w:szCs w:val="28"/>
              </w:rPr>
            </w:pPr>
            <w:r>
              <w:rPr>
                <w:rFonts w:hint="eastAsia" w:eastAsia="方正黑体简体"/>
                <w:sz w:val="28"/>
                <w:szCs w:val="28"/>
              </w:rPr>
              <w:t>金融</w:t>
            </w:r>
          </w:p>
          <w:p>
            <w:pPr>
              <w:spacing w:line="360" w:lineRule="exact"/>
              <w:jc w:val="center"/>
              <w:rPr>
                <w:rFonts w:eastAsia="方正黑体简体"/>
                <w:sz w:val="28"/>
                <w:szCs w:val="28"/>
              </w:rPr>
            </w:pPr>
            <w:r>
              <w:rPr>
                <w:rFonts w:hint="eastAsia" w:eastAsia="方正黑体简体"/>
                <w:sz w:val="28"/>
                <w:szCs w:val="28"/>
              </w:rPr>
              <w:t>机构类</w:t>
            </w:r>
          </w:p>
        </w:tc>
        <w:tc>
          <w:tcPr>
            <w:tcW w:w="4820" w:type="dxa"/>
            <w:gridSpan w:val="3"/>
            <w:vAlign w:val="center"/>
          </w:tcPr>
          <w:p>
            <w:pPr>
              <w:spacing w:line="300" w:lineRule="exact"/>
              <w:jc w:val="center"/>
              <w:rPr>
                <w:rFonts w:eastAsia="方正楷体简体"/>
                <w:spacing w:val="-8"/>
                <w:sz w:val="28"/>
                <w:szCs w:val="28"/>
              </w:rPr>
            </w:pPr>
            <w:r>
              <w:rPr>
                <w:rFonts w:hint="eastAsia" w:ascii="方正楷体简体" w:hAnsi="等线" w:eastAsia="方正楷体简体"/>
                <w:b/>
                <w:sz w:val="28"/>
                <w:szCs w:val="28"/>
              </w:rPr>
              <w:t>配额依据</w:t>
            </w:r>
          </w:p>
        </w:tc>
        <w:tc>
          <w:tcPr>
            <w:tcW w:w="3118" w:type="dxa"/>
            <w:gridSpan w:val="4"/>
            <w:vAlign w:val="center"/>
          </w:tcPr>
          <w:p>
            <w:pPr>
              <w:spacing w:line="300" w:lineRule="exact"/>
              <w:jc w:val="center"/>
              <w:rPr>
                <w:rFonts w:eastAsia="方正楷体简体"/>
                <w:spacing w:val="-8"/>
                <w:sz w:val="28"/>
                <w:szCs w:val="28"/>
              </w:rPr>
            </w:pPr>
            <w:r>
              <w:rPr>
                <w:rFonts w:hint="eastAsia" w:ascii="方正楷体简体" w:hAnsi="等线" w:eastAsia="方正楷体简体"/>
                <w:b/>
                <w:sz w:val="28"/>
                <w:szCs w:val="28"/>
              </w:rPr>
              <w:t>年度配额指标（人）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jc w:val="center"/>
              <w:rPr>
                <w:rFonts w:eastAsia="方正楷体简体"/>
                <w:b/>
                <w:sz w:val="28"/>
                <w:szCs w:val="28"/>
              </w:rPr>
            </w:pPr>
            <w:r>
              <w:rPr>
                <w:rFonts w:hint="eastAsia" w:eastAsia="方正楷体简体"/>
                <w:spacing w:val="-8"/>
                <w:sz w:val="28"/>
                <w:szCs w:val="28"/>
              </w:rPr>
              <w:t>上一年度纳税额等</w:t>
            </w:r>
          </w:p>
        </w:tc>
        <w:tc>
          <w:tcPr>
            <w:tcW w:w="850"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第三层次</w:t>
            </w:r>
          </w:p>
        </w:tc>
        <w:tc>
          <w:tcPr>
            <w:tcW w:w="851"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第四层次</w:t>
            </w:r>
          </w:p>
        </w:tc>
        <w:tc>
          <w:tcPr>
            <w:tcW w:w="850"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第五层次</w:t>
            </w:r>
          </w:p>
        </w:tc>
        <w:tc>
          <w:tcPr>
            <w:tcW w:w="567" w:type="dxa"/>
            <w:vAlign w:val="center"/>
          </w:tcPr>
          <w:p>
            <w:pPr>
              <w:spacing w:line="300" w:lineRule="exact"/>
              <w:jc w:val="center"/>
              <w:rPr>
                <w:rFonts w:eastAsia="方正楷体简体"/>
                <w:spacing w:val="-8"/>
                <w:sz w:val="28"/>
                <w:szCs w:val="28"/>
              </w:rPr>
            </w:pPr>
            <w:r>
              <w:rPr>
                <w:rFonts w:hint="eastAsia" w:eastAsia="方正楷体简体"/>
                <w:spacing w:val="-8"/>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continue"/>
            <w:vAlign w:val="center"/>
          </w:tcPr>
          <w:p>
            <w:pPr>
              <w:widowControl/>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5</w:t>
            </w:r>
            <w:r>
              <w:rPr>
                <w:rFonts w:hint="eastAsia" w:eastAsia="仿宋_GB2312"/>
                <w:sz w:val="28"/>
                <w:szCs w:val="28"/>
              </w:rPr>
              <w:t>亿元以上</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4</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8</w:t>
            </w:r>
          </w:p>
        </w:tc>
        <w:tc>
          <w:tcPr>
            <w:tcW w:w="567" w:type="dxa"/>
          </w:tcPr>
          <w:p>
            <w:pPr>
              <w:spacing w:line="360" w:lineRule="exact"/>
              <w:jc w:val="center"/>
              <w:rPr>
                <w:rFonts w:eastAsia="仿宋_GB2312"/>
                <w:color w:val="000000"/>
                <w:sz w:val="28"/>
                <w:szCs w:val="28"/>
              </w:rPr>
            </w:pPr>
            <w:r>
              <w:rPr>
                <w:rFonts w:eastAsia="仿宋_GB2312"/>
                <w:color w:val="00000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continue"/>
            <w:vAlign w:val="center"/>
          </w:tcPr>
          <w:p>
            <w:pPr>
              <w:widowControl/>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3</w:t>
            </w:r>
            <w:r>
              <w:rPr>
                <w:rFonts w:hint="eastAsia" w:eastAsia="仿宋_GB2312"/>
                <w:sz w:val="28"/>
                <w:szCs w:val="28"/>
              </w:rPr>
              <w:t>亿元以上至</w:t>
            </w:r>
            <w:r>
              <w:rPr>
                <w:rFonts w:eastAsia="仿宋_GB2312"/>
                <w:sz w:val="28"/>
                <w:szCs w:val="28"/>
              </w:rPr>
              <w:t>5</w:t>
            </w:r>
            <w:r>
              <w:rPr>
                <w:rFonts w:hint="eastAsia" w:eastAsia="仿宋_GB2312"/>
                <w:sz w:val="28"/>
                <w:szCs w:val="28"/>
              </w:rPr>
              <w:t>亿元</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2</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3</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5</w:t>
            </w:r>
          </w:p>
        </w:tc>
        <w:tc>
          <w:tcPr>
            <w:tcW w:w="567" w:type="dxa"/>
          </w:tcPr>
          <w:p>
            <w:pPr>
              <w:spacing w:line="360" w:lineRule="exact"/>
              <w:jc w:val="center"/>
              <w:rPr>
                <w:rFonts w:eastAsia="仿宋_GB2312"/>
                <w:color w:val="000000"/>
                <w:sz w:val="28"/>
                <w:szCs w:val="28"/>
              </w:rPr>
            </w:pPr>
            <w:r>
              <w:rPr>
                <w:rFonts w:eastAsia="仿宋_GB2312"/>
                <w:color w:val="00000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continue"/>
            <w:vAlign w:val="center"/>
          </w:tcPr>
          <w:p>
            <w:pPr>
              <w:widowControl/>
              <w:jc w:val="left"/>
              <w:rPr>
                <w:rFonts w:eastAsia="方正黑体简体"/>
                <w:sz w:val="28"/>
                <w:szCs w:val="28"/>
              </w:rPr>
            </w:pPr>
          </w:p>
        </w:tc>
        <w:tc>
          <w:tcPr>
            <w:tcW w:w="4820" w:type="dxa"/>
            <w:gridSpan w:val="3"/>
          </w:tcPr>
          <w:p>
            <w:pPr>
              <w:spacing w:line="360" w:lineRule="exact"/>
              <w:jc w:val="left"/>
              <w:rPr>
                <w:rFonts w:eastAsia="仿宋_GB2312"/>
                <w:sz w:val="28"/>
                <w:szCs w:val="28"/>
              </w:rPr>
            </w:pPr>
            <w:r>
              <w:rPr>
                <w:rFonts w:eastAsia="仿宋_GB2312"/>
                <w:sz w:val="28"/>
                <w:szCs w:val="28"/>
              </w:rPr>
              <w:t>1</w:t>
            </w:r>
            <w:r>
              <w:rPr>
                <w:rFonts w:hint="eastAsia" w:eastAsia="仿宋_GB2312"/>
                <w:sz w:val="28"/>
                <w:szCs w:val="28"/>
              </w:rPr>
              <w:t>亿元以上至</w:t>
            </w:r>
            <w:r>
              <w:rPr>
                <w:rFonts w:eastAsia="仿宋_GB2312"/>
                <w:sz w:val="28"/>
                <w:szCs w:val="28"/>
              </w:rPr>
              <w:t>3</w:t>
            </w:r>
            <w:r>
              <w:rPr>
                <w:rFonts w:hint="eastAsia" w:eastAsia="仿宋_GB2312"/>
                <w:sz w:val="28"/>
                <w:szCs w:val="28"/>
              </w:rPr>
              <w:t>亿元</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1</w:t>
            </w:r>
          </w:p>
        </w:tc>
        <w:tc>
          <w:tcPr>
            <w:tcW w:w="851" w:type="dxa"/>
          </w:tcPr>
          <w:p>
            <w:pPr>
              <w:spacing w:line="360" w:lineRule="exact"/>
              <w:jc w:val="center"/>
              <w:rPr>
                <w:rFonts w:eastAsia="仿宋_GB2312"/>
                <w:color w:val="000000"/>
                <w:sz w:val="28"/>
                <w:szCs w:val="28"/>
              </w:rPr>
            </w:pPr>
            <w:r>
              <w:rPr>
                <w:rFonts w:eastAsia="仿宋_GB2312"/>
                <w:color w:val="000000"/>
                <w:sz w:val="28"/>
                <w:szCs w:val="28"/>
              </w:rPr>
              <w:t>2</w:t>
            </w:r>
          </w:p>
        </w:tc>
        <w:tc>
          <w:tcPr>
            <w:tcW w:w="850" w:type="dxa"/>
          </w:tcPr>
          <w:p>
            <w:pPr>
              <w:spacing w:line="360" w:lineRule="exact"/>
              <w:jc w:val="center"/>
              <w:rPr>
                <w:rFonts w:eastAsia="仿宋_GB2312"/>
                <w:color w:val="000000"/>
                <w:sz w:val="28"/>
                <w:szCs w:val="28"/>
              </w:rPr>
            </w:pPr>
            <w:r>
              <w:rPr>
                <w:rFonts w:eastAsia="仿宋_GB2312"/>
                <w:color w:val="000000"/>
                <w:sz w:val="28"/>
                <w:szCs w:val="28"/>
              </w:rPr>
              <w:t>3</w:t>
            </w:r>
          </w:p>
        </w:tc>
        <w:tc>
          <w:tcPr>
            <w:tcW w:w="567" w:type="dxa"/>
          </w:tcPr>
          <w:p>
            <w:pPr>
              <w:spacing w:line="360" w:lineRule="exact"/>
              <w:jc w:val="center"/>
              <w:rPr>
                <w:rFonts w:eastAsia="仿宋_GB2312"/>
                <w:color w:val="000000"/>
                <w:sz w:val="28"/>
                <w:szCs w:val="28"/>
              </w:rPr>
            </w:pPr>
            <w:r>
              <w:rPr>
                <w:rFonts w:eastAsia="仿宋_GB2312"/>
                <w:color w:val="00000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384" w:type="dxa"/>
            <w:vMerge w:val="continue"/>
            <w:vAlign w:val="center"/>
          </w:tcPr>
          <w:p>
            <w:pPr>
              <w:widowControl/>
              <w:jc w:val="left"/>
              <w:rPr>
                <w:rFonts w:eastAsia="方正黑体简体"/>
                <w:sz w:val="28"/>
                <w:szCs w:val="28"/>
              </w:rPr>
            </w:pPr>
          </w:p>
        </w:tc>
        <w:tc>
          <w:tcPr>
            <w:tcW w:w="4820" w:type="dxa"/>
            <w:gridSpan w:val="3"/>
            <w:vAlign w:val="center"/>
          </w:tcPr>
          <w:p>
            <w:pPr>
              <w:spacing w:line="360" w:lineRule="exact"/>
              <w:jc w:val="left"/>
              <w:rPr>
                <w:rFonts w:hAnsi="等线" w:eastAsia="方正楷体简体"/>
                <w:b/>
                <w:spacing w:val="-20"/>
                <w:sz w:val="28"/>
                <w:szCs w:val="28"/>
              </w:rPr>
            </w:pPr>
            <w:r>
              <w:rPr>
                <w:rFonts w:hint="eastAsia" w:eastAsia="仿宋_GB2312"/>
                <w:sz w:val="28"/>
                <w:szCs w:val="28"/>
              </w:rPr>
              <w:t>投中、清科、</w:t>
            </w:r>
            <w:r>
              <w:rPr>
                <w:rFonts w:hAnsi="等线" w:eastAsia="仿宋_GB2312"/>
                <w:sz w:val="28"/>
                <w:szCs w:val="28"/>
              </w:rPr>
              <w:t>36</w:t>
            </w:r>
            <w:r>
              <w:rPr>
                <w:rFonts w:hint="eastAsia" w:eastAsia="仿宋_GB2312"/>
                <w:sz w:val="28"/>
                <w:szCs w:val="28"/>
              </w:rPr>
              <w:t>氪等权威机构发布的天使投资、创业投资、股权投资等年度名单中排名前</w:t>
            </w:r>
            <w:r>
              <w:rPr>
                <w:rFonts w:hAnsi="等线" w:eastAsia="仿宋_GB2312"/>
                <w:sz w:val="28"/>
                <w:szCs w:val="28"/>
              </w:rPr>
              <w:t>20</w:t>
            </w:r>
            <w:r>
              <w:rPr>
                <w:rFonts w:hint="eastAsia" w:eastAsia="仿宋_GB2312"/>
                <w:sz w:val="28"/>
                <w:szCs w:val="28"/>
              </w:rPr>
              <w:t>名的股权投资管理企业</w:t>
            </w:r>
          </w:p>
        </w:tc>
        <w:tc>
          <w:tcPr>
            <w:tcW w:w="850" w:type="dxa"/>
            <w:vAlign w:val="center"/>
          </w:tcPr>
          <w:p>
            <w:pPr>
              <w:spacing w:line="320" w:lineRule="exact"/>
              <w:jc w:val="center"/>
              <w:rPr>
                <w:rFonts w:eastAsia="方正楷体简体"/>
                <w:color w:val="000000"/>
                <w:sz w:val="28"/>
                <w:szCs w:val="28"/>
              </w:rPr>
            </w:pPr>
            <w:r>
              <w:rPr>
                <w:rFonts w:eastAsia="方正楷体简体"/>
                <w:color w:val="000000"/>
                <w:sz w:val="28"/>
                <w:szCs w:val="28"/>
              </w:rPr>
              <w:t>1</w:t>
            </w:r>
          </w:p>
        </w:tc>
        <w:tc>
          <w:tcPr>
            <w:tcW w:w="851" w:type="dxa"/>
            <w:vAlign w:val="center"/>
          </w:tcPr>
          <w:p>
            <w:pPr>
              <w:spacing w:line="320" w:lineRule="exact"/>
              <w:jc w:val="center"/>
              <w:rPr>
                <w:rFonts w:eastAsia="方正楷体简体"/>
                <w:color w:val="000000"/>
                <w:sz w:val="28"/>
                <w:szCs w:val="28"/>
              </w:rPr>
            </w:pPr>
            <w:r>
              <w:rPr>
                <w:rFonts w:eastAsia="方正楷体简体"/>
                <w:color w:val="000000"/>
                <w:sz w:val="28"/>
                <w:szCs w:val="28"/>
              </w:rPr>
              <w:t>1</w:t>
            </w:r>
          </w:p>
        </w:tc>
        <w:tc>
          <w:tcPr>
            <w:tcW w:w="850" w:type="dxa"/>
            <w:vAlign w:val="center"/>
          </w:tcPr>
          <w:p>
            <w:pPr>
              <w:spacing w:line="320" w:lineRule="exact"/>
              <w:jc w:val="center"/>
              <w:rPr>
                <w:rFonts w:eastAsia="方正楷体简体"/>
                <w:color w:val="000000"/>
                <w:sz w:val="28"/>
                <w:szCs w:val="28"/>
              </w:rPr>
            </w:pPr>
            <w:r>
              <w:rPr>
                <w:rFonts w:eastAsia="方正楷体简体"/>
                <w:color w:val="000000"/>
                <w:sz w:val="28"/>
                <w:szCs w:val="28"/>
              </w:rPr>
              <w:t>2</w:t>
            </w:r>
          </w:p>
        </w:tc>
        <w:tc>
          <w:tcPr>
            <w:tcW w:w="567" w:type="dxa"/>
            <w:vAlign w:val="center"/>
          </w:tcPr>
          <w:p>
            <w:pPr>
              <w:spacing w:line="320" w:lineRule="exact"/>
              <w:jc w:val="center"/>
              <w:rPr>
                <w:rFonts w:eastAsia="方正楷体简体"/>
                <w:color w:val="000000"/>
                <w:sz w:val="28"/>
                <w:szCs w:val="28"/>
              </w:rPr>
            </w:pPr>
            <w:r>
              <w:rPr>
                <w:rFonts w:eastAsia="方正楷体简体"/>
                <w:color w:val="000000"/>
                <w:sz w:val="28"/>
                <w:szCs w:val="28"/>
              </w:rPr>
              <w:t>4</w:t>
            </w:r>
          </w:p>
        </w:tc>
      </w:tr>
    </w:tbl>
    <w:p>
      <w:pPr>
        <w:spacing w:line="40" w:lineRule="exact"/>
        <w:rPr>
          <w:szCs w:val="24"/>
        </w:rPr>
      </w:pPr>
    </w:p>
    <w:p>
      <w:pPr>
        <w:pStyle w:val="9"/>
        <w:ind w:left="680" w:hanging="680" w:hanging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注：考虑稳慎严控通过自主认定方式认定市第二层次人才，若用人单位确需自主认定第二层次人才的，须事前与属地和市级人才自主认定工作小组报备沟通，认可后方可按程序组织认定，且抵扣第三层次人才的年度配额指标。</w:t>
      </w:r>
    </w:p>
    <w:p>
      <w:pPr>
        <w:spacing w:line="560" w:lineRule="exact"/>
        <w:jc w:val="center"/>
        <w:rPr>
          <w:rFonts w:ascii="方正小标宋简体" w:eastAsia="方正小标宋简体"/>
          <w:sz w:val="44"/>
          <w:szCs w:val="44"/>
        </w:rPr>
      </w:pPr>
    </w:p>
    <w:p>
      <w:pPr>
        <w:spacing w:line="20" w:lineRule="exact"/>
      </w:pPr>
    </w:p>
    <w:sectPr>
      <w:footerReference r:id="rId5" w:type="default"/>
      <w:pgSz w:w="11906" w:h="16838"/>
      <w:pgMar w:top="2155" w:right="1531" w:bottom="1928" w:left="1531" w:header="851" w:footer="1134" w:gutter="0"/>
      <w:pgNumType w:chapSep="emDash"/>
      <w:cols w:space="720" w:num="1"/>
      <w:docGrid w:type="linesAndChars" w:linePitch="579" w:charSpace="41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80" w:firstLine="560"/>
      <w:jc w:val="right"/>
      <w:rPr>
        <w:rFonts w:asciiTheme="minorEastAsia" w:hAnsiTheme="minorEastAsia" w:eastAsiaTheme="minorEastAsia"/>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Style w:val="13"/>
        <w:rFonts w:hint="eastAsia" w:asciiTheme="minorEastAsia" w:hAnsiTheme="minorEastAsia" w:eastAsiaTheme="minorEastAsia"/>
        <w:sz w:val="28"/>
        <w:szCs w:val="28"/>
      </w:rPr>
      <w:fldChar w:fldCharType="begin"/>
    </w:r>
    <w:r>
      <w:rPr>
        <w:rStyle w:val="13"/>
        <w:rFonts w:hint="eastAsia" w:asciiTheme="minorEastAsia" w:hAnsiTheme="minorEastAsia" w:eastAsiaTheme="minorEastAsia"/>
        <w:sz w:val="28"/>
        <w:szCs w:val="28"/>
      </w:rPr>
      <w:instrText xml:space="preserve"> PAGE </w:instrText>
    </w:r>
    <w:r>
      <w:rPr>
        <w:rStyle w:val="13"/>
        <w:rFonts w:hint="eastAsia"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9</w:t>
    </w:r>
    <w:r>
      <w:rPr>
        <w:rStyle w:val="13"/>
        <w:rFonts w:hint="eastAsia"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280" w:firstLineChars="100"/>
      <w:rPr>
        <w:rFonts w:asciiTheme="minorEastAsia" w:hAnsiTheme="minorEastAsia" w:eastAsiaTheme="minorEastAsia"/>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 xml:space="preserve"> </w:t>
    </w:r>
    <w:r>
      <w:rPr>
        <w:rStyle w:val="13"/>
        <w:rFonts w:hint="eastAsia" w:asciiTheme="minorEastAsia" w:hAnsiTheme="minorEastAsia" w:eastAsiaTheme="minorEastAsia"/>
        <w:sz w:val="28"/>
        <w:szCs w:val="28"/>
      </w:rPr>
      <w:fldChar w:fldCharType="begin"/>
    </w:r>
    <w:r>
      <w:rPr>
        <w:rStyle w:val="13"/>
        <w:rFonts w:hint="eastAsia" w:asciiTheme="minorEastAsia" w:hAnsiTheme="minorEastAsia" w:eastAsiaTheme="minorEastAsia"/>
        <w:sz w:val="28"/>
        <w:szCs w:val="28"/>
      </w:rPr>
      <w:instrText xml:space="preserve"> PAGE </w:instrText>
    </w:r>
    <w:r>
      <w:rPr>
        <w:rStyle w:val="13"/>
        <w:rFonts w:hint="eastAsia" w:asciiTheme="minorEastAsia" w:hAnsiTheme="minorEastAsia" w:eastAsiaTheme="minorEastAsia"/>
        <w:sz w:val="28"/>
        <w:szCs w:val="28"/>
      </w:rPr>
      <w:fldChar w:fldCharType="separate"/>
    </w:r>
    <w:r>
      <w:rPr>
        <w:rStyle w:val="13"/>
        <w:rFonts w:asciiTheme="minorEastAsia" w:hAnsiTheme="minorEastAsia" w:eastAsiaTheme="minorEastAsia"/>
        <w:sz w:val="28"/>
        <w:szCs w:val="28"/>
      </w:rPr>
      <w:t>10</w:t>
    </w:r>
    <w:r>
      <w:rPr>
        <w:rStyle w:val="13"/>
        <w:rFonts w:hint="eastAsia" w:asciiTheme="minorEastAsia" w:hAnsiTheme="minorEastAsia" w:eastAsiaTheme="minorEastAsia"/>
        <w:sz w:val="28"/>
        <w:szCs w:val="28"/>
      </w:rPr>
      <w:fldChar w:fldCharType="end"/>
    </w:r>
    <w:r>
      <w:rPr>
        <w:rStyle w:val="13"/>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15"/>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jc1YWE2YTZmYzUzZDJjZGQ0MGUzNTAwNmFkMGQifQ=="/>
  </w:docVars>
  <w:rsids>
    <w:rsidRoot w:val="005360EA"/>
    <w:rsid w:val="00025992"/>
    <w:rsid w:val="00054103"/>
    <w:rsid w:val="00093CB6"/>
    <w:rsid w:val="00093CFE"/>
    <w:rsid w:val="000A3965"/>
    <w:rsid w:val="000A39FE"/>
    <w:rsid w:val="000A6033"/>
    <w:rsid w:val="000A6283"/>
    <w:rsid w:val="000C0938"/>
    <w:rsid w:val="000C561D"/>
    <w:rsid w:val="000C7D6A"/>
    <w:rsid w:val="000D292A"/>
    <w:rsid w:val="000D4886"/>
    <w:rsid w:val="000D79BE"/>
    <w:rsid w:val="000E0400"/>
    <w:rsid w:val="000E0C8F"/>
    <w:rsid w:val="000E0EB4"/>
    <w:rsid w:val="000E1DB8"/>
    <w:rsid w:val="000E41A0"/>
    <w:rsid w:val="000F44BD"/>
    <w:rsid w:val="001100E4"/>
    <w:rsid w:val="00135939"/>
    <w:rsid w:val="00162FF2"/>
    <w:rsid w:val="001657CA"/>
    <w:rsid w:val="001669D8"/>
    <w:rsid w:val="001712CB"/>
    <w:rsid w:val="00174659"/>
    <w:rsid w:val="0018400A"/>
    <w:rsid w:val="00184D76"/>
    <w:rsid w:val="001C3B2E"/>
    <w:rsid w:val="001C450A"/>
    <w:rsid w:val="001C472C"/>
    <w:rsid w:val="001D39CF"/>
    <w:rsid w:val="001F0113"/>
    <w:rsid w:val="001F13DF"/>
    <w:rsid w:val="001F1EE6"/>
    <w:rsid w:val="0020317B"/>
    <w:rsid w:val="00212300"/>
    <w:rsid w:val="00215B97"/>
    <w:rsid w:val="00233E16"/>
    <w:rsid w:val="002349CB"/>
    <w:rsid w:val="00236940"/>
    <w:rsid w:val="002415AE"/>
    <w:rsid w:val="0026571A"/>
    <w:rsid w:val="002716FE"/>
    <w:rsid w:val="00280798"/>
    <w:rsid w:val="00285979"/>
    <w:rsid w:val="00297F02"/>
    <w:rsid w:val="002B262A"/>
    <w:rsid w:val="002B5FB7"/>
    <w:rsid w:val="002B64A5"/>
    <w:rsid w:val="002C4D7F"/>
    <w:rsid w:val="002C5358"/>
    <w:rsid w:val="002D15CE"/>
    <w:rsid w:val="002E5D9A"/>
    <w:rsid w:val="00303306"/>
    <w:rsid w:val="0030626D"/>
    <w:rsid w:val="0031180C"/>
    <w:rsid w:val="00315869"/>
    <w:rsid w:val="0031778E"/>
    <w:rsid w:val="00327B35"/>
    <w:rsid w:val="00330611"/>
    <w:rsid w:val="003510D7"/>
    <w:rsid w:val="00360D42"/>
    <w:rsid w:val="00370232"/>
    <w:rsid w:val="00382071"/>
    <w:rsid w:val="00383250"/>
    <w:rsid w:val="003C3293"/>
    <w:rsid w:val="003C3E8D"/>
    <w:rsid w:val="003D293B"/>
    <w:rsid w:val="003E7B94"/>
    <w:rsid w:val="003F7703"/>
    <w:rsid w:val="00400262"/>
    <w:rsid w:val="00400589"/>
    <w:rsid w:val="00401A21"/>
    <w:rsid w:val="00402FC0"/>
    <w:rsid w:val="00421021"/>
    <w:rsid w:val="00423687"/>
    <w:rsid w:val="00434701"/>
    <w:rsid w:val="00440DEF"/>
    <w:rsid w:val="00444EAB"/>
    <w:rsid w:val="004456A7"/>
    <w:rsid w:val="0045711C"/>
    <w:rsid w:val="00457EB3"/>
    <w:rsid w:val="00472CD6"/>
    <w:rsid w:val="00480B9F"/>
    <w:rsid w:val="0049255D"/>
    <w:rsid w:val="004A05CA"/>
    <w:rsid w:val="004C1964"/>
    <w:rsid w:val="004D1066"/>
    <w:rsid w:val="004E1B4C"/>
    <w:rsid w:val="004E537D"/>
    <w:rsid w:val="004F2DC1"/>
    <w:rsid w:val="00501BB8"/>
    <w:rsid w:val="0051301A"/>
    <w:rsid w:val="0051466B"/>
    <w:rsid w:val="00534209"/>
    <w:rsid w:val="005344FD"/>
    <w:rsid w:val="00535CAC"/>
    <w:rsid w:val="005360EA"/>
    <w:rsid w:val="005459A5"/>
    <w:rsid w:val="0055758E"/>
    <w:rsid w:val="00562E27"/>
    <w:rsid w:val="00563964"/>
    <w:rsid w:val="00563AAA"/>
    <w:rsid w:val="0057019A"/>
    <w:rsid w:val="00571C37"/>
    <w:rsid w:val="005725EB"/>
    <w:rsid w:val="00593B1D"/>
    <w:rsid w:val="005946C6"/>
    <w:rsid w:val="005A1FE2"/>
    <w:rsid w:val="005A4789"/>
    <w:rsid w:val="005B01E9"/>
    <w:rsid w:val="005B179C"/>
    <w:rsid w:val="005B6D70"/>
    <w:rsid w:val="005B7B4F"/>
    <w:rsid w:val="005C002B"/>
    <w:rsid w:val="005C511F"/>
    <w:rsid w:val="005D2203"/>
    <w:rsid w:val="005E088C"/>
    <w:rsid w:val="005F4E53"/>
    <w:rsid w:val="006073A6"/>
    <w:rsid w:val="00633B03"/>
    <w:rsid w:val="006626C0"/>
    <w:rsid w:val="00662C7C"/>
    <w:rsid w:val="00662F93"/>
    <w:rsid w:val="00664B65"/>
    <w:rsid w:val="00672A5D"/>
    <w:rsid w:val="00673896"/>
    <w:rsid w:val="006757AF"/>
    <w:rsid w:val="00677022"/>
    <w:rsid w:val="006865FA"/>
    <w:rsid w:val="006937BC"/>
    <w:rsid w:val="00693870"/>
    <w:rsid w:val="006A2050"/>
    <w:rsid w:val="006B1EE4"/>
    <w:rsid w:val="006B683A"/>
    <w:rsid w:val="006D2382"/>
    <w:rsid w:val="006E009F"/>
    <w:rsid w:val="006F483B"/>
    <w:rsid w:val="00704AA7"/>
    <w:rsid w:val="00704C79"/>
    <w:rsid w:val="007104D0"/>
    <w:rsid w:val="00716711"/>
    <w:rsid w:val="00726C74"/>
    <w:rsid w:val="00734758"/>
    <w:rsid w:val="0073557A"/>
    <w:rsid w:val="0074483E"/>
    <w:rsid w:val="00744F7D"/>
    <w:rsid w:val="007456CB"/>
    <w:rsid w:val="00754C16"/>
    <w:rsid w:val="0075721C"/>
    <w:rsid w:val="00772B5C"/>
    <w:rsid w:val="007905A2"/>
    <w:rsid w:val="007969F6"/>
    <w:rsid w:val="007B5E6E"/>
    <w:rsid w:val="007C045D"/>
    <w:rsid w:val="007C12E7"/>
    <w:rsid w:val="007E1A03"/>
    <w:rsid w:val="007F63FA"/>
    <w:rsid w:val="00802681"/>
    <w:rsid w:val="00810A9E"/>
    <w:rsid w:val="008158A1"/>
    <w:rsid w:val="00821F69"/>
    <w:rsid w:val="00826277"/>
    <w:rsid w:val="00834FE4"/>
    <w:rsid w:val="0084328D"/>
    <w:rsid w:val="008477B5"/>
    <w:rsid w:val="00854129"/>
    <w:rsid w:val="008543A5"/>
    <w:rsid w:val="00863701"/>
    <w:rsid w:val="00865D8D"/>
    <w:rsid w:val="00866BC8"/>
    <w:rsid w:val="00872EA1"/>
    <w:rsid w:val="0088158B"/>
    <w:rsid w:val="0089028A"/>
    <w:rsid w:val="008A6BFA"/>
    <w:rsid w:val="008B2FE7"/>
    <w:rsid w:val="008B370B"/>
    <w:rsid w:val="008B5491"/>
    <w:rsid w:val="008C241F"/>
    <w:rsid w:val="008C3096"/>
    <w:rsid w:val="008D0955"/>
    <w:rsid w:val="008E2A08"/>
    <w:rsid w:val="008E2D63"/>
    <w:rsid w:val="008E38BF"/>
    <w:rsid w:val="008F58E4"/>
    <w:rsid w:val="008F64A0"/>
    <w:rsid w:val="008F6560"/>
    <w:rsid w:val="008F714C"/>
    <w:rsid w:val="00902458"/>
    <w:rsid w:val="0090726B"/>
    <w:rsid w:val="009104EC"/>
    <w:rsid w:val="009130E1"/>
    <w:rsid w:val="00917B23"/>
    <w:rsid w:val="009235C4"/>
    <w:rsid w:val="009248C2"/>
    <w:rsid w:val="00926DF2"/>
    <w:rsid w:val="0094333A"/>
    <w:rsid w:val="009526E7"/>
    <w:rsid w:val="0098241E"/>
    <w:rsid w:val="009851C6"/>
    <w:rsid w:val="00994CD2"/>
    <w:rsid w:val="009A5D5A"/>
    <w:rsid w:val="009C560D"/>
    <w:rsid w:val="009F22D2"/>
    <w:rsid w:val="00A07C7C"/>
    <w:rsid w:val="00A12178"/>
    <w:rsid w:val="00A16A0F"/>
    <w:rsid w:val="00A35152"/>
    <w:rsid w:val="00A411A6"/>
    <w:rsid w:val="00A426BD"/>
    <w:rsid w:val="00A45EA5"/>
    <w:rsid w:val="00A4794E"/>
    <w:rsid w:val="00A5617A"/>
    <w:rsid w:val="00A62B43"/>
    <w:rsid w:val="00A70DC7"/>
    <w:rsid w:val="00A76BF6"/>
    <w:rsid w:val="00A8252A"/>
    <w:rsid w:val="00A9131A"/>
    <w:rsid w:val="00A95B87"/>
    <w:rsid w:val="00AA534D"/>
    <w:rsid w:val="00AA72B9"/>
    <w:rsid w:val="00AC0332"/>
    <w:rsid w:val="00AC4BA1"/>
    <w:rsid w:val="00AC7742"/>
    <w:rsid w:val="00AD1826"/>
    <w:rsid w:val="00AF0199"/>
    <w:rsid w:val="00AF3D93"/>
    <w:rsid w:val="00AF71B1"/>
    <w:rsid w:val="00B074E3"/>
    <w:rsid w:val="00B10025"/>
    <w:rsid w:val="00B37279"/>
    <w:rsid w:val="00B65654"/>
    <w:rsid w:val="00B673EB"/>
    <w:rsid w:val="00B77982"/>
    <w:rsid w:val="00B838DF"/>
    <w:rsid w:val="00B937F3"/>
    <w:rsid w:val="00BB6306"/>
    <w:rsid w:val="00BC26EF"/>
    <w:rsid w:val="00BC6E87"/>
    <w:rsid w:val="00BD0C4B"/>
    <w:rsid w:val="00BD7769"/>
    <w:rsid w:val="00BE391E"/>
    <w:rsid w:val="00BF6D95"/>
    <w:rsid w:val="00C004B0"/>
    <w:rsid w:val="00C06C7D"/>
    <w:rsid w:val="00C108D4"/>
    <w:rsid w:val="00C13909"/>
    <w:rsid w:val="00C261F0"/>
    <w:rsid w:val="00C275DA"/>
    <w:rsid w:val="00C2799D"/>
    <w:rsid w:val="00C338B2"/>
    <w:rsid w:val="00C4699B"/>
    <w:rsid w:val="00C46BFC"/>
    <w:rsid w:val="00C70D65"/>
    <w:rsid w:val="00C8382D"/>
    <w:rsid w:val="00C91931"/>
    <w:rsid w:val="00C9364A"/>
    <w:rsid w:val="00CB414F"/>
    <w:rsid w:val="00CB45A8"/>
    <w:rsid w:val="00CC51A9"/>
    <w:rsid w:val="00CC6A86"/>
    <w:rsid w:val="00CE0802"/>
    <w:rsid w:val="00CF1494"/>
    <w:rsid w:val="00D21E9F"/>
    <w:rsid w:val="00D270FC"/>
    <w:rsid w:val="00D561B5"/>
    <w:rsid w:val="00D62491"/>
    <w:rsid w:val="00D73301"/>
    <w:rsid w:val="00D80370"/>
    <w:rsid w:val="00D83A1B"/>
    <w:rsid w:val="00D870AD"/>
    <w:rsid w:val="00D93B52"/>
    <w:rsid w:val="00D940C3"/>
    <w:rsid w:val="00D96545"/>
    <w:rsid w:val="00DB3A7F"/>
    <w:rsid w:val="00DB51AA"/>
    <w:rsid w:val="00DC5B6A"/>
    <w:rsid w:val="00DD14A4"/>
    <w:rsid w:val="00DD169C"/>
    <w:rsid w:val="00DD6A54"/>
    <w:rsid w:val="00DD7ABA"/>
    <w:rsid w:val="00DE41B6"/>
    <w:rsid w:val="00DF1AB2"/>
    <w:rsid w:val="00DF34ED"/>
    <w:rsid w:val="00E22768"/>
    <w:rsid w:val="00E24039"/>
    <w:rsid w:val="00E2473E"/>
    <w:rsid w:val="00E32862"/>
    <w:rsid w:val="00E33611"/>
    <w:rsid w:val="00E447DE"/>
    <w:rsid w:val="00E77BFF"/>
    <w:rsid w:val="00E90393"/>
    <w:rsid w:val="00E9576C"/>
    <w:rsid w:val="00EA5ED2"/>
    <w:rsid w:val="00EB2844"/>
    <w:rsid w:val="00EC6A10"/>
    <w:rsid w:val="00ED2B55"/>
    <w:rsid w:val="00EE14BA"/>
    <w:rsid w:val="00EF5EB2"/>
    <w:rsid w:val="00F06309"/>
    <w:rsid w:val="00F22AD6"/>
    <w:rsid w:val="00F23EBB"/>
    <w:rsid w:val="00F26533"/>
    <w:rsid w:val="00F31B09"/>
    <w:rsid w:val="00F4122A"/>
    <w:rsid w:val="00F46BDA"/>
    <w:rsid w:val="00F54847"/>
    <w:rsid w:val="00F9218B"/>
    <w:rsid w:val="00FA0A67"/>
    <w:rsid w:val="00FA11B1"/>
    <w:rsid w:val="00FB720F"/>
    <w:rsid w:val="00FD10F2"/>
    <w:rsid w:val="00FD2B01"/>
    <w:rsid w:val="00FD79F2"/>
    <w:rsid w:val="00FF11C8"/>
    <w:rsid w:val="4F805118"/>
    <w:rsid w:val="E7DC6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qFormat="1" w:uiPriority="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6"/>
    <w:qFormat/>
    <w:uiPriority w:val="99"/>
    <w:pPr>
      <w:widowControl/>
      <w:spacing w:line="600" w:lineRule="atLeast"/>
      <w:jc w:val="center"/>
      <w:outlineLvl w:val="0"/>
    </w:pPr>
    <w:rPr>
      <w:kern w:val="36"/>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szCs w:val="24"/>
    </w:rPr>
  </w:style>
  <w:style w:type="paragraph" w:styleId="4">
    <w:name w:val="Body Text"/>
    <w:basedOn w:val="1"/>
    <w:link w:val="15"/>
    <w:semiHidden/>
    <w:unhideWhenUsed/>
    <w:qFormat/>
    <w:uiPriority w:val="0"/>
    <w:pPr>
      <w:spacing w:after="120" w:line="600" w:lineRule="exact"/>
      <w:ind w:firstLine="640" w:firstLineChars="200"/>
    </w:pPr>
    <w:rPr>
      <w:rFonts w:eastAsia="仿宋_GB2312"/>
      <w:sz w:val="32"/>
      <w:szCs w:val="24"/>
    </w:rPr>
  </w:style>
  <w:style w:type="paragraph" w:styleId="5">
    <w:name w:val="endnote text"/>
    <w:basedOn w:val="1"/>
    <w:link w:val="21"/>
    <w:semiHidden/>
    <w:unhideWhenUsed/>
    <w:qFormat/>
    <w:uiPriority w:val="0"/>
    <w:pPr>
      <w:snapToGrid w:val="0"/>
      <w:jc w:val="left"/>
    </w:pPr>
    <w:rPr>
      <w:rFonts w:ascii="Calibri" w:hAnsi="Calibri"/>
      <w:szCs w:val="24"/>
    </w:rPr>
  </w:style>
  <w:style w:type="paragraph" w:styleId="6">
    <w:name w:val="Balloon Text"/>
    <w:basedOn w:val="1"/>
    <w:link w:val="22"/>
    <w:semiHidden/>
    <w:unhideWhenUsed/>
    <w:qFormat/>
    <w:uiPriority w:val="0"/>
    <w:rPr>
      <w:rFonts w:ascii="Calibri" w:hAnsi="Calibri"/>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link w:val="20"/>
    <w:semiHidden/>
    <w:unhideWhenUsed/>
    <w:qFormat/>
    <w:uiPriority w:val="99"/>
    <w:pPr>
      <w:snapToGrid w:val="0"/>
      <w:jc w:val="left"/>
    </w:pPr>
    <w:rPr>
      <w:rFonts w:ascii="等线" w:hAnsi="等线" w:eastAsia="等线" w:cs="等线"/>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3">
    <w:name w:val="page number"/>
    <w:basedOn w:val="12"/>
    <w:semiHidden/>
    <w:unhideWhenUsed/>
    <w:qFormat/>
    <w:uiPriority w:val="0"/>
  </w:style>
  <w:style w:type="paragraph" w:styleId="14">
    <w:name w:val="List Paragraph"/>
    <w:basedOn w:val="1"/>
    <w:qFormat/>
    <w:uiPriority w:val="34"/>
    <w:pPr>
      <w:ind w:firstLine="420" w:firstLineChars="200"/>
    </w:pPr>
  </w:style>
  <w:style w:type="character" w:customStyle="1" w:styleId="15">
    <w:name w:val="正文文本 Char"/>
    <w:basedOn w:val="12"/>
    <w:link w:val="4"/>
    <w:semiHidden/>
    <w:qFormat/>
    <w:uiPriority w:val="0"/>
    <w:rPr>
      <w:rFonts w:ascii="Times New Roman" w:hAnsi="Times New Roman" w:eastAsia="仿宋_GB2312" w:cs="Times New Roman"/>
      <w:sz w:val="32"/>
      <w:szCs w:val="24"/>
    </w:rPr>
  </w:style>
  <w:style w:type="character" w:customStyle="1" w:styleId="16">
    <w:name w:val="标题 1 Char"/>
    <w:basedOn w:val="12"/>
    <w:link w:val="2"/>
    <w:qFormat/>
    <w:uiPriority w:val="99"/>
    <w:rPr>
      <w:rFonts w:ascii="Times New Roman" w:hAnsi="Times New Roman" w:eastAsia="宋体" w:cs="Times New Roman"/>
      <w:kern w:val="36"/>
      <w:sz w:val="32"/>
      <w:szCs w:val="32"/>
    </w:rPr>
  </w:style>
  <w:style w:type="paragraph" w:customStyle="1" w:styleId="17">
    <w:name w:val="p0"/>
    <w:basedOn w:val="1"/>
    <w:qFormat/>
    <w:uiPriority w:val="0"/>
    <w:pPr>
      <w:widowControl/>
      <w:spacing w:line="600" w:lineRule="atLeast"/>
      <w:ind w:firstLine="420"/>
    </w:pPr>
    <w:rPr>
      <w:kern w:val="0"/>
      <w:sz w:val="32"/>
      <w:szCs w:val="32"/>
    </w:rPr>
  </w:style>
  <w:style w:type="character" w:customStyle="1" w:styleId="18">
    <w:name w:val="页眉 Char"/>
    <w:basedOn w:val="12"/>
    <w:link w:val="8"/>
    <w:semiHidden/>
    <w:qFormat/>
    <w:uiPriority w:val="99"/>
    <w:rPr>
      <w:rFonts w:ascii="Times New Roman" w:hAnsi="Times New Roman" w:eastAsia="宋体" w:cs="Times New Roman"/>
      <w:sz w:val="18"/>
      <w:szCs w:val="18"/>
    </w:rPr>
  </w:style>
  <w:style w:type="character" w:customStyle="1" w:styleId="19">
    <w:name w:val="页脚 Char"/>
    <w:basedOn w:val="12"/>
    <w:link w:val="7"/>
    <w:qFormat/>
    <w:uiPriority w:val="0"/>
    <w:rPr>
      <w:rFonts w:ascii="Times New Roman" w:hAnsi="Times New Roman" w:eastAsia="宋体" w:cs="Times New Roman"/>
      <w:sz w:val="18"/>
      <w:szCs w:val="18"/>
    </w:rPr>
  </w:style>
  <w:style w:type="character" w:customStyle="1" w:styleId="20">
    <w:name w:val="脚注文本 Char"/>
    <w:basedOn w:val="12"/>
    <w:link w:val="9"/>
    <w:semiHidden/>
    <w:qFormat/>
    <w:uiPriority w:val="99"/>
    <w:rPr>
      <w:rFonts w:ascii="等线" w:hAnsi="等线" w:eastAsia="等线" w:cs="等线"/>
      <w:sz w:val="18"/>
      <w:szCs w:val="18"/>
    </w:rPr>
  </w:style>
  <w:style w:type="character" w:customStyle="1" w:styleId="21">
    <w:name w:val="尾注文本 Char"/>
    <w:basedOn w:val="12"/>
    <w:link w:val="5"/>
    <w:semiHidden/>
    <w:qFormat/>
    <w:uiPriority w:val="0"/>
    <w:rPr>
      <w:rFonts w:ascii="Calibri" w:hAnsi="Calibri" w:eastAsia="宋体" w:cs="Times New Roman"/>
      <w:szCs w:val="24"/>
    </w:rPr>
  </w:style>
  <w:style w:type="character" w:customStyle="1" w:styleId="22">
    <w:name w:val="批注框文本 Char"/>
    <w:basedOn w:val="12"/>
    <w:link w:val="6"/>
    <w:semiHidden/>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QZZZB</Company>
  <Pages>11</Pages>
  <Words>822</Words>
  <Characters>4691</Characters>
  <Lines>39</Lines>
  <Paragraphs>11</Paragraphs>
  <TotalTime>39</TotalTime>
  <ScaleCrop>false</ScaleCrop>
  <LinksUpToDate>false</LinksUpToDate>
  <CharactersWithSpaces>5502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2023-10-12T20:15:00Z</dcterms:created>
  <dc:creator>aa</dc:creator>
  <cp:lastModifiedBy>luoluo</cp:lastModifiedBy>
  <cp:lastPrinted>2023-10-13T15:34:00Z</cp:lastPrinted>
  <dcterms:modified xsi:type="dcterms:W3CDTF">2023-11-02T07:07:13Z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B9347C65BE2449EC82FC22A54129A40F_13</vt:lpwstr>
  </property>
</Properties>
</file>